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91049" w14:textId="301C614F" w:rsidR="00C439A3" w:rsidRDefault="00AB117A" w:rsidP="00AB117A">
      <w:pPr>
        <w:jc w:val="center"/>
      </w:pPr>
      <w:r w:rsidRPr="00AB117A">
        <w:rPr>
          <w:noProof/>
        </w:rPr>
        <w:drawing>
          <wp:inline distT="0" distB="0" distL="0" distR="0" wp14:anchorId="4BCDCE38" wp14:editId="6D89E5DE">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1965DA89" w14:textId="77777777" w:rsidR="00AB117A" w:rsidRDefault="00AB117A">
      <w:pPr>
        <w:jc w:val="right"/>
      </w:pPr>
    </w:p>
    <w:p w14:paraId="317283BB" w14:textId="7C3A08A5" w:rsidR="00C439A3" w:rsidRDefault="00C439A3">
      <w:pPr>
        <w:pStyle w:val="CoverText"/>
        <w:jc w:val="left"/>
        <w:rPr>
          <w:bCs/>
          <w:sz w:val="20"/>
          <w:u w:val="none"/>
        </w:rPr>
      </w:pPr>
      <w:r>
        <w:rPr>
          <w:bCs/>
        </w:rPr>
        <w:t xml:space="preserve">Neutral Citation Number: </w:t>
      </w:r>
      <w:r w:rsidR="00723003">
        <w:rPr>
          <w:bCs/>
        </w:rPr>
        <w:t xml:space="preserve">[2021] </w:t>
      </w:r>
      <w:proofErr w:type="spellStart"/>
      <w:r w:rsidR="00723003">
        <w:rPr>
          <w:bCs/>
        </w:rPr>
        <w:t>EWCA</w:t>
      </w:r>
      <w:proofErr w:type="spellEnd"/>
      <w:r w:rsidR="00723003">
        <w:rPr>
          <w:bCs/>
        </w:rPr>
        <w:t xml:space="preserve"> </w:t>
      </w:r>
      <w:proofErr w:type="spellStart"/>
      <w:r w:rsidR="00723003">
        <w:rPr>
          <w:bCs/>
        </w:rPr>
        <w:t>Civ</w:t>
      </w:r>
      <w:proofErr w:type="spellEnd"/>
      <w:r w:rsidR="00723003">
        <w:rPr>
          <w:bCs/>
        </w:rPr>
        <w:t xml:space="preserve"> 326</w:t>
      </w:r>
      <w:r>
        <w:rPr>
          <w:bCs/>
        </w:rPr>
        <w:br/>
      </w:r>
    </w:p>
    <w:p w14:paraId="11347427" w14:textId="77777777" w:rsidR="00C439A3" w:rsidRDefault="00C439A3">
      <w:pPr>
        <w:pStyle w:val="CoverText"/>
        <w:rPr>
          <w:b/>
          <w:spacing w:val="-3"/>
        </w:rPr>
      </w:pPr>
      <w:r>
        <w:t xml:space="preserve">Case No: </w:t>
      </w:r>
      <w:r w:rsidR="009E2FB2">
        <w:t>B3/2020/1263</w:t>
      </w:r>
    </w:p>
    <w:p w14:paraId="7BCF8229" w14:textId="4665CC24" w:rsidR="009E2FB2"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IN THE COURT OF APPEAL </w:t>
      </w:r>
      <w:r w:rsidR="009E2FB2">
        <w:t xml:space="preserve">OF ENGLAND AND WALES </w:t>
      </w:r>
    </w:p>
    <w:p w14:paraId="62C1465E" w14:textId="47571D80" w:rsidR="009E2FB2" w:rsidRDefault="006249A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w:t>
      </w:r>
      <w:r w:rsidR="009E2FB2">
        <w:t>CIVIL DIVISION</w:t>
      </w:r>
      <w:r>
        <w:t>)</w:t>
      </w:r>
    </w:p>
    <w:p w14:paraId="2BB57E82" w14:textId="77777777" w:rsidR="009E2FB2" w:rsidRDefault="009E2FB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ON</w:t>
      </w:r>
      <w:r w:rsidR="00C439A3">
        <w:t xml:space="preserve"> APPEAL FROM </w:t>
      </w:r>
    </w:p>
    <w:p w14:paraId="11C1A612" w14:textId="2A31BDFE" w:rsidR="009E2FB2" w:rsidRDefault="009E2FB2" w:rsidP="0054537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THE HIGH COURT OF JUSTICE</w:t>
      </w:r>
    </w:p>
    <w:p w14:paraId="4D0CB19E" w14:textId="77777777" w:rsidR="009E2FB2" w:rsidRDefault="009E2FB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QUEEN’S BENCH DIVISION</w:t>
      </w:r>
    </w:p>
    <w:p w14:paraId="7B06D343" w14:textId="4C2FB223" w:rsidR="00C439A3" w:rsidRDefault="0001082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w:t>
      </w:r>
      <w:r w:rsidR="009E2FB2">
        <w:t>THE HONOURABLE MR JUSTICE JAY</w:t>
      </w:r>
      <w:r>
        <w:t>)</w:t>
      </w:r>
    </w:p>
    <w:p w14:paraId="4FE39B83" w14:textId="543A1276" w:rsidR="00C439A3" w:rsidRDefault="003E6957">
      <w:pPr>
        <w:pStyle w:val="CoverText"/>
      </w:pPr>
      <w:r>
        <w:t xml:space="preserve">       </w:t>
      </w:r>
      <w:bookmarkStart w:id="0" w:name="_GoBack"/>
      <w:bookmarkEnd w:id="0"/>
    </w:p>
    <w:p w14:paraId="69D1D943" w14:textId="77777777" w:rsidR="00C439A3" w:rsidRDefault="00C439A3">
      <w:pPr>
        <w:pStyle w:val="CoverText"/>
      </w:pPr>
      <w:r>
        <w:t>Strand, London, WC2A 2LL</w:t>
      </w:r>
    </w:p>
    <w:p w14:paraId="3288D607" w14:textId="77777777" w:rsidR="00C439A3" w:rsidRDefault="00C439A3">
      <w:pPr>
        <w:suppressAutoHyphens/>
        <w:jc w:val="right"/>
        <w:rPr>
          <w:spacing w:val="-3"/>
          <w:u w:val="single"/>
        </w:rPr>
      </w:pPr>
    </w:p>
    <w:p w14:paraId="46879998" w14:textId="20B41763" w:rsidR="00C439A3" w:rsidRDefault="00C439A3">
      <w:pPr>
        <w:pStyle w:val="CoverText"/>
        <w:rPr>
          <w:b/>
        </w:rPr>
      </w:pPr>
      <w:r>
        <w:t xml:space="preserve">Date: </w:t>
      </w:r>
      <w:r w:rsidR="00BB4516">
        <w:t>10/03/2021</w:t>
      </w:r>
    </w:p>
    <w:p w14:paraId="5B1C27E5" w14:textId="15A1B8E5" w:rsidR="00C439A3" w:rsidRDefault="00C439A3">
      <w:pPr>
        <w:suppressAutoHyphens/>
        <w:jc w:val="center"/>
        <w:rPr>
          <w:b/>
          <w:spacing w:val="-3"/>
        </w:rPr>
      </w:pPr>
      <w:r>
        <w:rPr>
          <w:b/>
          <w:spacing w:val="-3"/>
        </w:rPr>
        <w:t>Before:</w:t>
      </w:r>
    </w:p>
    <w:p w14:paraId="6918E450" w14:textId="77777777" w:rsidR="00C439A3" w:rsidRDefault="00C439A3" w:rsidP="009C315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AFBCB91" w14:textId="228D36B8" w:rsidR="009E2FB2" w:rsidRDefault="00CB35AE" w:rsidP="00CB35A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LORD JUSTICE BEAN </w:t>
      </w:r>
    </w:p>
    <w:p w14:paraId="28BD7935" w14:textId="6B281781" w:rsidR="00C439A3" w:rsidRDefault="009E2FB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val="0"/>
          <w:bCs/>
          <w:u w:val="none"/>
        </w:rPr>
      </w:pPr>
      <w:r>
        <w:t>LORD JUSTICE COULSON</w:t>
      </w:r>
      <w:r w:rsidR="00C439A3">
        <w:br/>
      </w:r>
      <w:r w:rsidR="00C439A3">
        <w:rPr>
          <w:b w:val="0"/>
          <w:bCs/>
          <w:u w:val="none"/>
        </w:rPr>
        <w:t>and</w:t>
      </w:r>
    </w:p>
    <w:p w14:paraId="7C1AAF3D" w14:textId="329D94B7" w:rsidR="00BC48A7" w:rsidRPr="00CB35AE" w:rsidRDefault="00CB35A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MALES</w:t>
      </w:r>
    </w:p>
    <w:p w14:paraId="07DF9FBA" w14:textId="625F0D04"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28FF6243" w14:textId="77777777" w:rsidR="009E2FB2" w:rsidRDefault="009E2FB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2E9F647A" w14:textId="070BD6FA" w:rsidR="00C439A3" w:rsidRDefault="00C439A3">
      <w:pPr>
        <w:suppressAutoHyphens/>
        <w:jc w:val="center"/>
        <w:rPr>
          <w:b/>
          <w:spacing w:val="-3"/>
        </w:rPr>
      </w:pPr>
      <w:r>
        <w:rPr>
          <w:b/>
          <w:spacing w:val="-3"/>
        </w:rPr>
        <w:t>Between:</w:t>
      </w:r>
    </w:p>
    <w:p w14:paraId="33DE5AE3"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3F6DEACD" w14:textId="77777777">
        <w:tc>
          <w:tcPr>
            <w:tcW w:w="1314" w:type="dxa"/>
          </w:tcPr>
          <w:p w14:paraId="745183A3" w14:textId="77777777" w:rsidR="00C439A3" w:rsidRDefault="00C439A3">
            <w:pPr>
              <w:suppressAutoHyphens/>
              <w:rPr>
                <w:b/>
                <w:spacing w:val="-3"/>
              </w:rPr>
            </w:pPr>
          </w:p>
        </w:tc>
        <w:tc>
          <w:tcPr>
            <w:tcW w:w="6210" w:type="dxa"/>
          </w:tcPr>
          <w:p w14:paraId="763407DC" w14:textId="77777777" w:rsidR="00C439A3" w:rsidRPr="009E2FB2" w:rsidRDefault="009E2FB2">
            <w:pPr>
              <w:suppressAutoHyphens/>
              <w:jc w:val="center"/>
              <w:rPr>
                <w:b/>
                <w:spacing w:val="-3"/>
              </w:rPr>
            </w:pPr>
            <w:r w:rsidRPr="009E2FB2">
              <w:rPr>
                <w:b/>
              </w:rPr>
              <w:t xml:space="preserve">HAMIDA BEGUM (on behalf of MD KHALIL </w:t>
            </w:r>
            <w:proofErr w:type="spellStart"/>
            <w:r w:rsidRPr="009E2FB2">
              <w:rPr>
                <w:b/>
              </w:rPr>
              <w:t>MOLLAH</w:t>
            </w:r>
            <w:proofErr w:type="spellEnd"/>
            <w:r w:rsidRPr="009E2FB2">
              <w:rPr>
                <w:b/>
              </w:rPr>
              <w:t>)</w:t>
            </w:r>
          </w:p>
        </w:tc>
        <w:tc>
          <w:tcPr>
            <w:tcW w:w="1440" w:type="dxa"/>
          </w:tcPr>
          <w:p w14:paraId="6FB79B9A" w14:textId="77777777" w:rsidR="0011780A" w:rsidRDefault="001D4DE4" w:rsidP="001D4DE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Claimant/</w:t>
            </w:r>
          </w:p>
          <w:p w14:paraId="451E88AB" w14:textId="13C2CB21" w:rsidR="001D4DE4" w:rsidRDefault="001D4DE4" w:rsidP="001D4DE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Respondent</w:t>
            </w:r>
          </w:p>
        </w:tc>
      </w:tr>
      <w:tr w:rsidR="00C439A3" w14:paraId="20A6EE78" w14:textId="77777777">
        <w:tc>
          <w:tcPr>
            <w:tcW w:w="1314" w:type="dxa"/>
          </w:tcPr>
          <w:p w14:paraId="76D59CC7" w14:textId="77777777" w:rsidR="00C439A3" w:rsidRDefault="00C439A3">
            <w:pPr>
              <w:suppressAutoHyphens/>
              <w:rPr>
                <w:b/>
                <w:spacing w:val="-3"/>
              </w:rPr>
            </w:pPr>
          </w:p>
        </w:tc>
        <w:tc>
          <w:tcPr>
            <w:tcW w:w="6210" w:type="dxa"/>
          </w:tcPr>
          <w:p w14:paraId="7BEC641E" w14:textId="77777777" w:rsidR="009E2FB2" w:rsidRDefault="009E2FB2">
            <w:pPr>
              <w:tabs>
                <w:tab w:val="center" w:pos="3312"/>
              </w:tabs>
              <w:suppressAutoHyphens/>
              <w:jc w:val="center"/>
              <w:rPr>
                <w:b/>
                <w:spacing w:val="-3"/>
              </w:rPr>
            </w:pPr>
          </w:p>
          <w:p w14:paraId="36C9CD68" w14:textId="77777777" w:rsidR="00C439A3" w:rsidRDefault="00C439A3">
            <w:pPr>
              <w:tabs>
                <w:tab w:val="center" w:pos="3312"/>
              </w:tabs>
              <w:suppressAutoHyphens/>
              <w:jc w:val="center"/>
              <w:rPr>
                <w:b/>
                <w:spacing w:val="-3"/>
              </w:rPr>
            </w:pPr>
            <w:r>
              <w:rPr>
                <w:b/>
                <w:spacing w:val="-3"/>
              </w:rPr>
              <w:t>- and -</w:t>
            </w:r>
          </w:p>
        </w:tc>
        <w:tc>
          <w:tcPr>
            <w:tcW w:w="1440" w:type="dxa"/>
          </w:tcPr>
          <w:p w14:paraId="76D9E805" w14:textId="77777777" w:rsidR="00C439A3" w:rsidRDefault="00C439A3">
            <w:pPr>
              <w:suppressAutoHyphens/>
              <w:jc w:val="right"/>
              <w:rPr>
                <w:b/>
                <w:spacing w:val="-3"/>
              </w:rPr>
            </w:pPr>
          </w:p>
        </w:tc>
      </w:tr>
      <w:tr w:rsidR="00C439A3" w14:paraId="45AEDBC4" w14:textId="77777777">
        <w:tc>
          <w:tcPr>
            <w:tcW w:w="1314" w:type="dxa"/>
          </w:tcPr>
          <w:p w14:paraId="3F1745BD" w14:textId="77777777" w:rsidR="00C439A3" w:rsidRDefault="00C439A3">
            <w:pPr>
              <w:suppressAutoHyphens/>
              <w:rPr>
                <w:b/>
                <w:spacing w:val="-3"/>
              </w:rPr>
            </w:pPr>
          </w:p>
        </w:tc>
        <w:tc>
          <w:tcPr>
            <w:tcW w:w="6210" w:type="dxa"/>
          </w:tcPr>
          <w:p w14:paraId="7ADB3CD2" w14:textId="77777777" w:rsidR="009E2FB2" w:rsidRDefault="009E2FB2">
            <w:pPr>
              <w:tabs>
                <w:tab w:val="center" w:pos="3312"/>
              </w:tabs>
              <w:suppressAutoHyphens/>
              <w:jc w:val="center"/>
              <w:rPr>
                <w:b/>
                <w:spacing w:val="-3"/>
              </w:rPr>
            </w:pPr>
          </w:p>
          <w:p w14:paraId="47B94A56" w14:textId="77777777" w:rsidR="00C439A3" w:rsidRDefault="009E2FB2">
            <w:pPr>
              <w:tabs>
                <w:tab w:val="center" w:pos="3312"/>
              </w:tabs>
              <w:suppressAutoHyphens/>
              <w:jc w:val="center"/>
              <w:rPr>
                <w:b/>
                <w:spacing w:val="-3"/>
              </w:rPr>
            </w:pPr>
            <w:r>
              <w:rPr>
                <w:b/>
                <w:spacing w:val="-3"/>
              </w:rPr>
              <w:t>MARAN (UK) LIMITED</w:t>
            </w:r>
          </w:p>
        </w:tc>
        <w:tc>
          <w:tcPr>
            <w:tcW w:w="1440" w:type="dxa"/>
          </w:tcPr>
          <w:p w14:paraId="2A659D6F" w14:textId="77777777" w:rsidR="009E2FB2" w:rsidRDefault="009E2FB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295DBA0A" w14:textId="77777777" w:rsidR="00C439A3" w:rsidRDefault="003803B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r w:rsidR="0011780A">
              <w:t>/</w:t>
            </w:r>
          </w:p>
          <w:p w14:paraId="17557D26" w14:textId="28CFF221" w:rsidR="003803BC" w:rsidRDefault="003803B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roofErr w:type="spellStart"/>
            <w:r>
              <w:t>Defendent</w:t>
            </w:r>
            <w:proofErr w:type="spellEnd"/>
          </w:p>
        </w:tc>
      </w:tr>
    </w:tbl>
    <w:p w14:paraId="6031DA8C" w14:textId="1F6B48BE" w:rsidR="00C439A3" w:rsidRDefault="00C439A3">
      <w:pPr>
        <w:suppressAutoHyphens/>
        <w:rPr>
          <w:b/>
          <w:spacing w:val="-3"/>
        </w:rPr>
      </w:pPr>
    </w:p>
    <w:p w14:paraId="71D272B1" w14:textId="77777777" w:rsidR="00BB4516" w:rsidRDefault="00BB4516">
      <w:pPr>
        <w:suppressAutoHyphens/>
        <w:rPr>
          <w:b/>
          <w:spacing w:val="-3"/>
        </w:rPr>
      </w:pPr>
    </w:p>
    <w:p w14:paraId="2484D8E6" w14:textId="0A4498BB" w:rsidR="00C439A3" w:rsidRDefault="00327300">
      <w:pPr>
        <w:suppressAutoHyphens/>
        <w:jc w:val="center"/>
        <w:rPr>
          <w:bCs/>
          <w:spacing w:val="-3"/>
        </w:rPr>
      </w:pPr>
      <w:r>
        <w:rPr>
          <w:b/>
          <w:spacing w:val="-3"/>
        </w:rPr>
        <w:t xml:space="preserve">Robert Bright QC and James </w:t>
      </w:r>
      <w:proofErr w:type="spellStart"/>
      <w:r>
        <w:rPr>
          <w:b/>
          <w:spacing w:val="-3"/>
        </w:rPr>
        <w:t>Goudkamp</w:t>
      </w:r>
      <w:proofErr w:type="spellEnd"/>
      <w:r w:rsidR="00C439A3">
        <w:rPr>
          <w:bCs/>
          <w:spacing w:val="-3"/>
        </w:rPr>
        <w:t xml:space="preserve"> (instructed by </w:t>
      </w:r>
      <w:r w:rsidR="00B74EBD" w:rsidRPr="00EC73BF">
        <w:rPr>
          <w:b/>
          <w:bCs/>
          <w:spacing w:val="-3"/>
        </w:rPr>
        <w:t xml:space="preserve">Ince Gordon </w:t>
      </w:r>
      <w:proofErr w:type="spellStart"/>
      <w:r w:rsidR="00B74EBD" w:rsidRPr="00EC73BF">
        <w:rPr>
          <w:b/>
          <w:bCs/>
          <w:spacing w:val="-3"/>
        </w:rPr>
        <w:t>Dadds</w:t>
      </w:r>
      <w:proofErr w:type="spellEnd"/>
      <w:r w:rsidR="00B74EBD" w:rsidRPr="00EC73BF">
        <w:rPr>
          <w:b/>
          <w:bCs/>
          <w:spacing w:val="-3"/>
        </w:rPr>
        <w:t xml:space="preserve"> LLP</w:t>
      </w:r>
      <w:r w:rsidR="00C439A3">
        <w:rPr>
          <w:bCs/>
          <w:spacing w:val="-3"/>
        </w:rPr>
        <w:t xml:space="preserve">) for the </w:t>
      </w:r>
      <w:r w:rsidR="00950003">
        <w:rPr>
          <w:b/>
          <w:bCs/>
          <w:spacing w:val="-3"/>
        </w:rPr>
        <w:t>Appellant</w:t>
      </w:r>
    </w:p>
    <w:p w14:paraId="1781A8F4" w14:textId="69B0C52C" w:rsidR="00C439A3" w:rsidRDefault="00AD03B7">
      <w:pPr>
        <w:suppressAutoHyphens/>
        <w:jc w:val="center"/>
        <w:rPr>
          <w:bCs/>
          <w:spacing w:val="-3"/>
        </w:rPr>
      </w:pPr>
      <w:r>
        <w:rPr>
          <w:b/>
          <w:spacing w:val="-3"/>
        </w:rPr>
        <w:t xml:space="preserve">Richard </w:t>
      </w:r>
      <w:proofErr w:type="spellStart"/>
      <w:r>
        <w:rPr>
          <w:b/>
          <w:spacing w:val="-3"/>
        </w:rPr>
        <w:t>Hermer</w:t>
      </w:r>
      <w:proofErr w:type="spellEnd"/>
      <w:r>
        <w:rPr>
          <w:b/>
          <w:spacing w:val="-3"/>
        </w:rPr>
        <w:t xml:space="preserve"> QC and Rachael Toney</w:t>
      </w:r>
      <w:r w:rsidR="00C439A3">
        <w:rPr>
          <w:b/>
          <w:spacing w:val="-3"/>
        </w:rPr>
        <w:t xml:space="preserve"> </w:t>
      </w:r>
      <w:r w:rsidR="00C439A3">
        <w:rPr>
          <w:bCs/>
          <w:spacing w:val="-3"/>
        </w:rPr>
        <w:t>(instructed by</w:t>
      </w:r>
      <w:r w:rsidR="00C439A3">
        <w:rPr>
          <w:b/>
          <w:spacing w:val="-3"/>
        </w:rPr>
        <w:t xml:space="preserve"> </w:t>
      </w:r>
      <w:r>
        <w:rPr>
          <w:b/>
          <w:spacing w:val="-3"/>
        </w:rPr>
        <w:t>Leigh Day</w:t>
      </w:r>
      <w:r w:rsidR="00C439A3">
        <w:rPr>
          <w:bCs/>
          <w:spacing w:val="-3"/>
        </w:rPr>
        <w:t>) for the</w:t>
      </w:r>
      <w:r w:rsidR="00A358FF">
        <w:rPr>
          <w:bCs/>
          <w:spacing w:val="-3"/>
        </w:rPr>
        <w:t xml:space="preserve"> </w:t>
      </w:r>
      <w:r w:rsidR="00950003">
        <w:rPr>
          <w:b/>
          <w:bCs/>
          <w:spacing w:val="-3"/>
        </w:rPr>
        <w:t>Respondent</w:t>
      </w:r>
      <w:r w:rsidR="00C439A3" w:rsidRPr="00A358FF">
        <w:rPr>
          <w:b/>
          <w:bCs/>
          <w:spacing w:val="-3"/>
        </w:rPr>
        <w:t xml:space="preserve"> </w:t>
      </w:r>
    </w:p>
    <w:p w14:paraId="643B515C" w14:textId="77777777" w:rsidR="00C439A3" w:rsidRDefault="00C439A3">
      <w:pPr>
        <w:suppressAutoHyphens/>
        <w:jc w:val="center"/>
        <w:rPr>
          <w:b/>
          <w:spacing w:val="-3"/>
        </w:rPr>
      </w:pPr>
    </w:p>
    <w:p w14:paraId="52AD2384" w14:textId="28CEBD10" w:rsidR="00C439A3" w:rsidRDefault="00C439A3">
      <w:pPr>
        <w:suppressAutoHyphens/>
        <w:jc w:val="center"/>
        <w:rPr>
          <w:spacing w:val="-3"/>
        </w:rPr>
      </w:pPr>
      <w:r>
        <w:rPr>
          <w:spacing w:val="-3"/>
        </w:rPr>
        <w:t xml:space="preserve">Hearing dates: </w:t>
      </w:r>
      <w:r w:rsidR="009C315C">
        <w:rPr>
          <w:spacing w:val="-3"/>
        </w:rPr>
        <w:t>9</w:t>
      </w:r>
      <w:r w:rsidR="005E0347">
        <w:rPr>
          <w:spacing w:val="-3"/>
        </w:rPr>
        <w:t xml:space="preserve"> and</w:t>
      </w:r>
      <w:r w:rsidR="009C315C">
        <w:rPr>
          <w:spacing w:val="-3"/>
        </w:rPr>
        <w:t xml:space="preserve"> 10 February 2021</w:t>
      </w:r>
    </w:p>
    <w:p w14:paraId="57386AC6" w14:textId="77777777" w:rsidR="00C439A3" w:rsidRDefault="00C439A3">
      <w:pPr>
        <w:suppressAutoHyphens/>
        <w:jc w:val="center"/>
        <w:rPr>
          <w:spacing w:val="-3"/>
        </w:rPr>
      </w:pPr>
      <w:r>
        <w:rPr>
          <w:spacing w:val="-3"/>
        </w:rPr>
        <w:t>- - - - - - - - - - - - - - - - - - - - -</w:t>
      </w:r>
    </w:p>
    <w:p w14:paraId="2A651662" w14:textId="2AE2D908" w:rsidR="00C439A3" w:rsidRDefault="00AB117A" w:rsidP="00AB117A">
      <w:pPr>
        <w:pStyle w:val="CoverDesc"/>
      </w:pPr>
      <w:r>
        <w:t>Approved Judgment</w:t>
      </w:r>
    </w:p>
    <w:p w14:paraId="03186906" w14:textId="77777777" w:rsidR="00C439A3" w:rsidRDefault="00C439A3">
      <w:pPr>
        <w:pStyle w:val="CoverDesc"/>
        <w:rPr>
          <w:sz w:val="24"/>
        </w:rPr>
      </w:pPr>
    </w:p>
    <w:p w14:paraId="42940D7D" w14:textId="77777777" w:rsidR="00C439A3" w:rsidRDefault="00C439A3">
      <w:pPr>
        <w:sectPr w:rsidR="00C439A3">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p>
    <w:p w14:paraId="44D64170" w14:textId="26EE19B8" w:rsidR="00C439A3" w:rsidRDefault="00AB117A">
      <w:pPr>
        <w:spacing w:after="240"/>
        <w:sectPr w:rsidR="00C439A3">
          <w:headerReference w:type="default" r:id="rId18"/>
          <w:footerReference w:type="default" r:id="rId19"/>
          <w:pgSz w:w="11906" w:h="16838" w:code="9"/>
          <w:pgMar w:top="1440" w:right="1440" w:bottom="1440" w:left="1440" w:header="709" w:footer="709" w:gutter="0"/>
          <w:cols w:space="708"/>
          <w:docGrid w:linePitch="360"/>
        </w:sectPr>
      </w:pPr>
      <w:r>
        <w:rPr>
          <w:b/>
        </w:rPr>
        <w:lastRenderedPageBreak/>
        <w:t>LORD JUSTICE COULSON</w:t>
      </w:r>
      <w:r w:rsidR="00C439A3">
        <w:rPr>
          <w:b/>
        </w:rPr>
        <w:t>:</w:t>
      </w:r>
      <w:r w:rsidR="00C439A3">
        <w:t xml:space="preserve"> </w:t>
      </w:r>
    </w:p>
    <w:p w14:paraId="6A993509" w14:textId="77777777" w:rsidR="009E2FB2" w:rsidRPr="009E2FB2" w:rsidRDefault="009E2FB2" w:rsidP="00AB117A">
      <w:pPr>
        <w:pStyle w:val="ParaLevel1"/>
        <w:numPr>
          <w:ilvl w:val="0"/>
          <w:numId w:val="0"/>
        </w:numPr>
        <w:ind w:left="720" w:hanging="720"/>
        <w:rPr>
          <w:b/>
          <w:u w:val="single"/>
        </w:rPr>
      </w:pPr>
      <w:r w:rsidRPr="009E2FB2">
        <w:rPr>
          <w:b/>
          <w:u w:val="single"/>
        </w:rPr>
        <w:t>1 INTRODUCTION</w:t>
      </w:r>
    </w:p>
    <w:p w14:paraId="129481D3" w14:textId="1E20F576" w:rsidR="00C439A3" w:rsidRDefault="00442724" w:rsidP="00AB117A">
      <w:pPr>
        <w:pStyle w:val="ParaLevel1"/>
      </w:pPr>
      <w:r>
        <w:t>By a judgment dated 13 July 2020</w:t>
      </w:r>
      <w:r w:rsidR="0023120C">
        <w:t xml:space="preserve"> ([2020] </w:t>
      </w:r>
      <w:proofErr w:type="spellStart"/>
      <w:r w:rsidR="0023120C">
        <w:t>EWHC</w:t>
      </w:r>
      <w:proofErr w:type="spellEnd"/>
      <w:r w:rsidR="0023120C">
        <w:t xml:space="preserve"> 1846 (QB)), Jay J (“the judge”)</w:t>
      </w:r>
      <w:r w:rsidR="00224A0C">
        <w:t xml:space="preserve"> refused the </w:t>
      </w:r>
      <w:r w:rsidR="00950003">
        <w:t>Appellant</w:t>
      </w:r>
      <w:r w:rsidR="00224A0C">
        <w:t>’s application for reverse summary judgment under CPR Part 24.2</w:t>
      </w:r>
      <w:r w:rsidR="00332EB8">
        <w:t>,</w:t>
      </w:r>
      <w:r w:rsidR="00224A0C">
        <w:t xml:space="preserve"> and the related application to strike out the claim under CPR Part 3.</w:t>
      </w:r>
      <w:r w:rsidR="00100F8E">
        <w:t>4</w:t>
      </w:r>
      <w:r w:rsidR="00224A0C">
        <w:t xml:space="preserve">. He found that it could not be said that the duty of care alleged on behalf of the </w:t>
      </w:r>
      <w:r w:rsidR="00950003">
        <w:t>Respondent</w:t>
      </w:r>
      <w:r w:rsidR="00224A0C">
        <w:t xml:space="preserve"> would certainly fail, and </w:t>
      </w:r>
      <w:r w:rsidR="00332EB8">
        <w:t xml:space="preserve">that it </w:t>
      </w:r>
      <w:r w:rsidR="00224A0C">
        <w:t xml:space="preserve">should be allowed to proceed to trial. In addition, although he found that, on the face of it, the law of Bangladesh applied to the claim, and that </w:t>
      </w:r>
      <w:r w:rsidR="00615AD5">
        <w:t>this imposed a strict limitation period of one year which</w:t>
      </w:r>
      <w:r w:rsidR="00851267">
        <w:t xml:space="preserve"> </w:t>
      </w:r>
      <w:r w:rsidR="00615AD5">
        <w:t xml:space="preserve">had not been complied with, </w:t>
      </w:r>
      <w:r w:rsidR="00641B0B">
        <w:t xml:space="preserve">the judge considered that </w:t>
      </w:r>
      <w:r w:rsidR="00615AD5">
        <w:t xml:space="preserve">there were arguments available to the </w:t>
      </w:r>
      <w:r w:rsidR="00950003">
        <w:t>Respondent</w:t>
      </w:r>
      <w:r w:rsidR="00615AD5">
        <w:t xml:space="preserve"> under Articles 7 and 26 of </w:t>
      </w:r>
      <w:r w:rsidR="0059726A">
        <w:t xml:space="preserve">Rome </w:t>
      </w:r>
      <w:r w:rsidR="00615AD5">
        <w:t>II</w:t>
      </w:r>
      <w:r w:rsidR="008E5DAF">
        <w:t xml:space="preserve"> whi</w:t>
      </w:r>
      <w:r w:rsidR="00813E4D">
        <w:t xml:space="preserve">ch </w:t>
      </w:r>
      <w:r w:rsidR="0052592B">
        <w:t xml:space="preserve">he </w:t>
      </w:r>
      <w:r w:rsidR="008E5DAF">
        <w:t xml:space="preserve">could not resolve </w:t>
      </w:r>
      <w:r w:rsidR="00813E4D">
        <w:t>by way of</w:t>
      </w:r>
      <w:r w:rsidR="008E5DAF">
        <w:t xml:space="preserve"> </w:t>
      </w:r>
      <w:r w:rsidR="0052592B">
        <w:t xml:space="preserve">interim </w:t>
      </w:r>
      <w:r w:rsidR="008E5DAF">
        <w:t>application</w:t>
      </w:r>
      <w:r w:rsidR="00B463A5">
        <w:t>,</w:t>
      </w:r>
      <w:r w:rsidR="008E5DAF">
        <w:t xml:space="preserve"> which meant that he could not say that the claim was </w:t>
      </w:r>
      <w:r w:rsidR="006C377D">
        <w:t>definitely statute barred.</w:t>
      </w:r>
    </w:p>
    <w:p w14:paraId="66C8917B" w14:textId="401D70E2" w:rsidR="006C377D" w:rsidRDefault="006C377D" w:rsidP="00AB117A">
      <w:pPr>
        <w:pStyle w:val="ParaLevel1"/>
      </w:pPr>
      <w:r>
        <w:t xml:space="preserve">The judge himself granted permission to appeal on the issue as to the existence of a duty of care. </w:t>
      </w:r>
      <w:r w:rsidR="005E0047">
        <w:t xml:space="preserve">This court granted the </w:t>
      </w:r>
      <w:r w:rsidR="00950003">
        <w:t>Appellant</w:t>
      </w:r>
      <w:r w:rsidR="005E0047">
        <w:t xml:space="preserve"> permission to appeal on the two time</w:t>
      </w:r>
      <w:r w:rsidR="003B72BB">
        <w:t xml:space="preserve"> </w:t>
      </w:r>
      <w:r w:rsidR="005E0047">
        <w:t>bar issues arising out of Articles 7 and 26</w:t>
      </w:r>
      <w:r w:rsidR="001230B6">
        <w:t xml:space="preserve">. </w:t>
      </w:r>
      <w:r w:rsidR="00FD476C">
        <w:t>N</w:t>
      </w:r>
      <w:r w:rsidR="001230B6">
        <w:t xml:space="preserve">otwithstanding what ought to have been the relatively narrow scope for debate on the appeal, the joint authorities filled </w:t>
      </w:r>
      <w:r w:rsidR="00FD476C">
        <w:t>5</w:t>
      </w:r>
      <w:r w:rsidR="001230B6">
        <w:t xml:space="preserve"> full lever arch files and </w:t>
      </w:r>
      <w:r w:rsidR="00B43895">
        <w:t>ran to 64 separate cases</w:t>
      </w:r>
      <w:r w:rsidR="00FD476C">
        <w:t>, statut</w:t>
      </w:r>
      <w:r w:rsidR="00651A68">
        <w:t>es</w:t>
      </w:r>
      <w:r w:rsidR="00B43895">
        <w:t xml:space="preserve"> or commentaries. As is so often the way, only a handful of those were of direct application to the issues on appeal. Leading </w:t>
      </w:r>
      <w:r w:rsidR="00CD38E4">
        <w:t>C</w:t>
      </w:r>
      <w:r w:rsidR="00B43895">
        <w:t>ounsels</w:t>
      </w:r>
      <w:r w:rsidR="00E105E6">
        <w:t>’</w:t>
      </w:r>
      <w:r w:rsidR="00B43895">
        <w:t xml:space="preserve"> oral submissions, on the other hand, were focused and illuminating. </w:t>
      </w:r>
    </w:p>
    <w:p w14:paraId="0628CD75" w14:textId="4BA769CA" w:rsidR="00B43895" w:rsidRDefault="00751498" w:rsidP="00AB117A">
      <w:pPr>
        <w:pStyle w:val="ParaLevel1"/>
      </w:pPr>
      <w:r>
        <w:t xml:space="preserve">I set out the factual background in Section 2. I identify some of the relevant passages in the </w:t>
      </w:r>
      <w:r w:rsidR="00651A68">
        <w:t xml:space="preserve">judge’s </w:t>
      </w:r>
      <w:r>
        <w:t xml:space="preserve">judgment in Section 3. </w:t>
      </w:r>
      <w:r w:rsidR="00310CB3">
        <w:t xml:space="preserve">I identify the relevant tests under </w:t>
      </w:r>
      <w:r w:rsidR="00057AF3">
        <w:t xml:space="preserve">CPR </w:t>
      </w:r>
      <w:r w:rsidR="00310CB3">
        <w:t xml:space="preserve">Part 24.2 and Part 3.4 in Section 4. Then at Section 5 I identify the assumptions relevant to the claim which, on </w:t>
      </w:r>
      <w:r w:rsidR="00DB31EE">
        <w:t>th</w:t>
      </w:r>
      <w:r w:rsidR="008017E4">
        <w:t>ese</w:t>
      </w:r>
      <w:r w:rsidR="000E73CA">
        <w:t xml:space="preserve"> </w:t>
      </w:r>
      <w:r w:rsidR="00310CB3">
        <w:t>interim application</w:t>
      </w:r>
      <w:r w:rsidR="008017E4">
        <w:t>s</w:t>
      </w:r>
      <w:r w:rsidR="00310CB3">
        <w:t xml:space="preserve">, </w:t>
      </w:r>
      <w:r w:rsidR="000E73CA">
        <w:t>were</w:t>
      </w:r>
      <w:r w:rsidR="00310CB3">
        <w:t xml:space="preserve"> made </w:t>
      </w:r>
      <w:r w:rsidR="000E73CA">
        <w:t xml:space="preserve">by the judge </w:t>
      </w:r>
      <w:r w:rsidR="00310CB3">
        <w:t xml:space="preserve">in favour of the </w:t>
      </w:r>
      <w:r w:rsidR="00950003">
        <w:t>Respondent</w:t>
      </w:r>
      <w:r w:rsidR="00057AF3">
        <w:t>/claimant</w:t>
      </w:r>
      <w:r w:rsidR="00310CB3">
        <w:t>.</w:t>
      </w:r>
    </w:p>
    <w:p w14:paraId="5897E1D8" w14:textId="35BC0701" w:rsidR="00310CB3" w:rsidRDefault="0043399A" w:rsidP="00AB117A">
      <w:pPr>
        <w:pStyle w:val="ParaLevel1"/>
      </w:pPr>
      <w:r>
        <w:t xml:space="preserve">The </w:t>
      </w:r>
      <w:r w:rsidR="00950003">
        <w:t>Respondent</w:t>
      </w:r>
      <w:r>
        <w:t xml:space="preserve"> puts her case as to the existence of a duty of care in two different ways. I deal with each separately in Sections 6 and 7. Thereafter I deal with the time bar issues, setting</w:t>
      </w:r>
      <w:r w:rsidR="006C0823">
        <w:t xml:space="preserve"> out in Section 8 the relevant background to those issues before analysing, in Sections 9 and 10 respectively, the arguments under Article 7 and Article 26 of Rome II. There is a short summary of my conclusions at Section 11.</w:t>
      </w:r>
      <w:r w:rsidR="00C86A21">
        <w:t xml:space="preserve"> </w:t>
      </w:r>
    </w:p>
    <w:p w14:paraId="3AC7C0D7" w14:textId="2A4DB780" w:rsidR="006C0823" w:rsidRPr="00187957" w:rsidRDefault="00B13AC2" w:rsidP="00AB117A">
      <w:pPr>
        <w:pStyle w:val="ParaLevel1"/>
        <w:numPr>
          <w:ilvl w:val="0"/>
          <w:numId w:val="0"/>
        </w:numPr>
        <w:rPr>
          <w:b/>
          <w:u w:val="single"/>
        </w:rPr>
      </w:pPr>
      <w:r>
        <w:rPr>
          <w:b/>
          <w:u w:val="single"/>
        </w:rPr>
        <w:t xml:space="preserve">2 </w:t>
      </w:r>
      <w:r w:rsidR="00187957" w:rsidRPr="00187957">
        <w:rPr>
          <w:b/>
          <w:u w:val="single"/>
        </w:rPr>
        <w:t>THE FACTUAL BACKGROUND</w:t>
      </w:r>
    </w:p>
    <w:p w14:paraId="6645302D" w14:textId="1452C154" w:rsidR="009E2FB2" w:rsidRDefault="0087767A" w:rsidP="00AB117A">
      <w:pPr>
        <w:pStyle w:val="ParaLevel1"/>
      </w:pPr>
      <w:r>
        <w:t xml:space="preserve">The </w:t>
      </w:r>
      <w:r w:rsidR="00950003">
        <w:t>Respondent</w:t>
      </w:r>
      <w:r>
        <w:t xml:space="preserve"> is the widow of Mohammed Khalil </w:t>
      </w:r>
      <w:proofErr w:type="spellStart"/>
      <w:r>
        <w:t>Mollah</w:t>
      </w:r>
      <w:proofErr w:type="spellEnd"/>
      <w:r>
        <w:t xml:space="preserve"> (“the deceased”) who had worked in the shipyards in </w:t>
      </w:r>
      <w:proofErr w:type="spellStart"/>
      <w:r>
        <w:t>Chattogram</w:t>
      </w:r>
      <w:proofErr w:type="spellEnd"/>
      <w:r>
        <w:t xml:space="preserve"> in Bangladesh </w:t>
      </w:r>
      <w:r w:rsidR="006048CF">
        <w:t xml:space="preserve">for about 9 years. </w:t>
      </w:r>
      <w:r w:rsidR="000C3C20">
        <w:t xml:space="preserve">On 30 </w:t>
      </w:r>
      <w:r w:rsidR="007343AF">
        <w:t>M</w:t>
      </w:r>
      <w:r w:rsidR="000C3C20">
        <w:t xml:space="preserve">arch 2018, </w:t>
      </w:r>
      <w:r w:rsidR="00DA63F1">
        <w:t>he</w:t>
      </w:r>
      <w:r w:rsidR="000C3C20">
        <w:t xml:space="preserve"> was working on the demolition of an oil tanker </w:t>
      </w:r>
      <w:r w:rsidR="007343AF">
        <w:t xml:space="preserve">(“the vessel”) </w:t>
      </w:r>
      <w:r w:rsidR="001E4023">
        <w:t xml:space="preserve">at the Zuma Enterprise </w:t>
      </w:r>
      <w:r w:rsidR="00F97630">
        <w:t>Y</w:t>
      </w:r>
      <w:r w:rsidR="001E4023">
        <w:t>ard (“</w:t>
      </w:r>
      <w:r w:rsidR="00F97630">
        <w:t xml:space="preserve">the </w:t>
      </w:r>
      <w:r w:rsidR="001E4023">
        <w:t>Zuma</w:t>
      </w:r>
      <w:r w:rsidR="00F97630">
        <w:t xml:space="preserve"> Yard</w:t>
      </w:r>
      <w:r w:rsidR="001E4023">
        <w:t xml:space="preserve">”) </w:t>
      </w:r>
      <w:r w:rsidR="007343AF">
        <w:t xml:space="preserve">when he fell to his death. </w:t>
      </w:r>
    </w:p>
    <w:p w14:paraId="2AE23C70" w14:textId="3EB71E34" w:rsidR="007343AF" w:rsidRDefault="007343AF" w:rsidP="00AB117A">
      <w:pPr>
        <w:pStyle w:val="ParaLevel1"/>
      </w:pPr>
      <w:r>
        <w:t>The vessel had been registered to Centaurus Special Maritime Enterprise (“CSME</w:t>
      </w:r>
      <w:r w:rsidR="000C786D">
        <w:t xml:space="preserve">”), a Liberian company that is part of the </w:t>
      </w:r>
      <w:proofErr w:type="spellStart"/>
      <w:r w:rsidR="000C786D">
        <w:t>Angelicoussis</w:t>
      </w:r>
      <w:proofErr w:type="spellEnd"/>
      <w:r w:rsidR="000C786D">
        <w:t xml:space="preserve"> shipping group. </w:t>
      </w:r>
      <w:r w:rsidR="006F4F5B">
        <w:t xml:space="preserve">All the shares in CSME are directly owned by another company within the same group, Maran Tankers </w:t>
      </w:r>
      <w:proofErr w:type="spellStart"/>
      <w:r w:rsidR="006F4F5B">
        <w:t>Shiphold</w:t>
      </w:r>
      <w:r w:rsidR="00CD38E4">
        <w:t>ing</w:t>
      </w:r>
      <w:r w:rsidR="006F4F5B">
        <w:t>s</w:t>
      </w:r>
      <w:proofErr w:type="spellEnd"/>
      <w:r w:rsidR="006F4F5B">
        <w:t xml:space="preserve"> Limited (“MTS”)</w:t>
      </w:r>
      <w:r w:rsidR="00074CBE">
        <w:t>,</w:t>
      </w:r>
      <w:r w:rsidR="006F4F5B">
        <w:t xml:space="preserve"> incorporated in the Cayman Islands. Another related company, Maran Tankers Management (“</w:t>
      </w:r>
      <w:proofErr w:type="spellStart"/>
      <w:r w:rsidR="006F4F5B">
        <w:t>MTM</w:t>
      </w:r>
      <w:proofErr w:type="spellEnd"/>
      <w:r w:rsidR="006F4F5B">
        <w:t>”), also incorporated in Liberia, operated and managed the vessel.</w:t>
      </w:r>
    </w:p>
    <w:p w14:paraId="32AEA765" w14:textId="121DC6E9" w:rsidR="008E2851" w:rsidRDefault="008E2851" w:rsidP="00AB117A">
      <w:pPr>
        <w:pStyle w:val="ParaLevel1"/>
      </w:pPr>
      <w:r>
        <w:t xml:space="preserve">By an agreement made between </w:t>
      </w:r>
      <w:proofErr w:type="spellStart"/>
      <w:r>
        <w:t>MTM</w:t>
      </w:r>
      <w:proofErr w:type="spellEnd"/>
      <w:r>
        <w:t xml:space="preserve"> and the </w:t>
      </w:r>
      <w:r w:rsidR="00950003">
        <w:t>Appellant</w:t>
      </w:r>
      <w:r>
        <w:t xml:space="preserve"> </w:t>
      </w:r>
      <w:r w:rsidR="003568E5">
        <w:t>(another related company</w:t>
      </w:r>
      <w:r w:rsidR="002B372B">
        <w:t>, an</w:t>
      </w:r>
      <w:r w:rsidR="001C6F7E">
        <w:t xml:space="preserve"> English company </w:t>
      </w:r>
      <w:r w:rsidR="00632EA0">
        <w:t xml:space="preserve">and therefore </w:t>
      </w:r>
      <w:r w:rsidR="00E5698B">
        <w:t>amenable to the jurisdiction of the English court</w:t>
      </w:r>
      <w:r w:rsidR="003568E5">
        <w:t xml:space="preserve">) </w:t>
      </w:r>
      <w:r>
        <w:t xml:space="preserve">on 1 </w:t>
      </w:r>
      <w:r>
        <w:lastRenderedPageBreak/>
        <w:t xml:space="preserve">August 2013, the </w:t>
      </w:r>
      <w:r w:rsidR="00950003">
        <w:t>Appellant</w:t>
      </w:r>
      <w:r>
        <w:t xml:space="preserve"> agreed to provide agency and shipbr</w:t>
      </w:r>
      <w:r w:rsidR="00F6061C">
        <w:t>o</w:t>
      </w:r>
      <w:r>
        <w:t xml:space="preserve">king services to </w:t>
      </w:r>
      <w:proofErr w:type="spellStart"/>
      <w:r>
        <w:t>MTM</w:t>
      </w:r>
      <w:proofErr w:type="spellEnd"/>
      <w:r>
        <w:t xml:space="preserve"> in respect of </w:t>
      </w:r>
      <w:r w:rsidR="002F0029">
        <w:t>the vessel</w:t>
      </w:r>
      <w:r w:rsidR="00F6061C">
        <w:t xml:space="preserve"> and 28 other</w:t>
      </w:r>
      <w:r w:rsidR="004F25F0">
        <w:t xml:space="preserve"> ships</w:t>
      </w:r>
      <w:r w:rsidR="002F0029">
        <w:t xml:space="preserve">. It was common ground that one of these services was the negotiation and agreement of contracts of sale as and when the ships reached the end of </w:t>
      </w:r>
      <w:r w:rsidR="00F10946">
        <w:t>th</w:t>
      </w:r>
      <w:r w:rsidR="000A73B7">
        <w:t xml:space="preserve">eir </w:t>
      </w:r>
      <w:r w:rsidR="002F0029">
        <w:t xml:space="preserve">working lives. </w:t>
      </w:r>
      <w:r w:rsidR="00C6698C">
        <w:t xml:space="preserve">It is the </w:t>
      </w:r>
      <w:r w:rsidR="00950003">
        <w:t>Respondent</w:t>
      </w:r>
      <w:r w:rsidR="00C6698C">
        <w:t xml:space="preserve">’s case, on the </w:t>
      </w:r>
      <w:r w:rsidR="00287825">
        <w:t xml:space="preserve">disputed but currently </w:t>
      </w:r>
      <w:r w:rsidR="004E213F">
        <w:t xml:space="preserve">uncontroverted </w:t>
      </w:r>
      <w:r w:rsidR="00C6698C">
        <w:t xml:space="preserve">evidence, </w:t>
      </w:r>
      <w:r w:rsidR="00273B9D">
        <w:t xml:space="preserve">that </w:t>
      </w:r>
      <w:r w:rsidR="00C6698C">
        <w:t xml:space="preserve">the </w:t>
      </w:r>
      <w:r w:rsidR="00950003">
        <w:t>Appellant</w:t>
      </w:r>
      <w:r w:rsidR="00C6698C">
        <w:t xml:space="preserve"> had complete control over the sale of any of the vessels, including who it was sold to</w:t>
      </w:r>
      <w:r w:rsidR="004E126B">
        <w:t xml:space="preserve"> and for what price. The question of price was particularly important because, on the </w:t>
      </w:r>
      <w:r w:rsidR="00950003">
        <w:t>Respondent</w:t>
      </w:r>
      <w:r w:rsidR="004E126B">
        <w:t xml:space="preserve">’s case, a high price meant that the </w:t>
      </w:r>
      <w:r w:rsidR="00950003">
        <w:t>Appellant</w:t>
      </w:r>
      <w:r w:rsidR="004E126B">
        <w:t xml:space="preserve"> would have known that the vessel in question would be broken up in </w:t>
      </w:r>
      <w:r w:rsidR="0040286A">
        <w:t xml:space="preserve">Bangladesh at a </w:t>
      </w:r>
      <w:r w:rsidR="00880BC5">
        <w:t>yard</w:t>
      </w:r>
      <w:r w:rsidR="004E126B">
        <w:t xml:space="preserve"> with negligible safety standards.</w:t>
      </w:r>
    </w:p>
    <w:p w14:paraId="6452F8C8" w14:textId="051CBAE2" w:rsidR="004E126B" w:rsidRDefault="004E126B" w:rsidP="00AB117A">
      <w:pPr>
        <w:pStyle w:val="ParaLevel1"/>
      </w:pPr>
      <w:r>
        <w:t>By the summer of 2017</w:t>
      </w:r>
      <w:r w:rsidR="002D2ADC">
        <w:t xml:space="preserve"> the vessel had come to the end of its useful life. In accordance with standard practice, CSME, as the ship owners, acted through the </w:t>
      </w:r>
      <w:r w:rsidR="00950003">
        <w:t>Appellant</w:t>
      </w:r>
      <w:r w:rsidR="004C3F3F">
        <w:t xml:space="preserve"> as their brokers</w:t>
      </w:r>
      <w:r w:rsidR="00940D37">
        <w:t xml:space="preserve"> to arrange its sale and demolition</w:t>
      </w:r>
      <w:r w:rsidR="004C3F3F">
        <w:t xml:space="preserve">. </w:t>
      </w:r>
      <w:r w:rsidR="007315D4">
        <w:t>Also</w:t>
      </w:r>
      <w:r w:rsidR="004C3F3F">
        <w:t xml:space="preserve"> in accordance with standard practice, the proposed sale was not directly to the shipbreakers</w:t>
      </w:r>
      <w:r w:rsidR="00B0095B">
        <w:t xml:space="preserve"> </w:t>
      </w:r>
      <w:r w:rsidR="007315D4">
        <w:t xml:space="preserve">themselves, </w:t>
      </w:r>
      <w:r w:rsidR="00B0095B">
        <w:t>but to a demolition cash buyer who then assume</w:t>
      </w:r>
      <w:r w:rsidR="007315D4">
        <w:t>d</w:t>
      </w:r>
      <w:r w:rsidR="00B0095B">
        <w:t xml:space="preserve"> the credit risk. In this way, in August 2017, the </w:t>
      </w:r>
      <w:r w:rsidR="00950003">
        <w:t>Appellant</w:t>
      </w:r>
      <w:r w:rsidR="00D05BC3">
        <w:t xml:space="preserve"> made enquiries, obtained quotations, conducted negotiations and agreed the sale of the vessel to </w:t>
      </w:r>
      <w:proofErr w:type="spellStart"/>
      <w:r w:rsidR="00D05BC3">
        <w:t>Hse</w:t>
      </w:r>
      <w:r w:rsidR="008975C9">
        <w:t>jar</w:t>
      </w:r>
      <w:proofErr w:type="spellEnd"/>
      <w:r w:rsidR="008975C9">
        <w:t xml:space="preserve"> Maritime Inc (“</w:t>
      </w:r>
      <w:proofErr w:type="spellStart"/>
      <w:r w:rsidR="008975C9">
        <w:t>Hsejar</w:t>
      </w:r>
      <w:proofErr w:type="spellEnd"/>
      <w:r w:rsidR="008975C9">
        <w:t>”).</w:t>
      </w:r>
    </w:p>
    <w:p w14:paraId="34CDC226" w14:textId="3F57DC2F" w:rsidR="008975C9" w:rsidRDefault="002A529D" w:rsidP="00AB117A">
      <w:pPr>
        <w:pStyle w:val="ParaLevel1"/>
      </w:pPr>
      <w:r>
        <w:t xml:space="preserve">The agreement to sell was the subject of a </w:t>
      </w:r>
      <w:r w:rsidR="00501215">
        <w:t>M</w:t>
      </w:r>
      <w:r>
        <w:t xml:space="preserve">emorandum of </w:t>
      </w:r>
      <w:r w:rsidR="00501215">
        <w:t>A</w:t>
      </w:r>
      <w:r>
        <w:t xml:space="preserve">greement </w:t>
      </w:r>
      <w:r w:rsidR="00501215">
        <w:t>(“</w:t>
      </w:r>
      <w:proofErr w:type="spellStart"/>
      <w:r w:rsidR="00501215">
        <w:t>MoA</w:t>
      </w:r>
      <w:proofErr w:type="spellEnd"/>
      <w:r w:rsidR="00501215">
        <w:t xml:space="preserve">”) </w:t>
      </w:r>
      <w:r>
        <w:t>dated 24 August 2017. The purchase price was over $</w:t>
      </w:r>
      <w:r w:rsidR="0044193C">
        <w:t>1</w:t>
      </w:r>
      <w:r>
        <w:t>6 million</w:t>
      </w:r>
      <w:r w:rsidR="006A548D">
        <w:t>,</w:t>
      </w:r>
      <w:r>
        <w:t xml:space="preserve"> which was the equivalent of $404 per net long ton.</w:t>
      </w:r>
      <w:r w:rsidR="00C005C1">
        <w:t xml:space="preserve"> </w:t>
      </w:r>
      <w:r w:rsidR="00DF76BA">
        <w:t xml:space="preserve">The evidence was that this was at the high end of the </w:t>
      </w:r>
      <w:r w:rsidR="006662FB">
        <w:t xml:space="preserve">likely </w:t>
      </w:r>
      <w:r w:rsidR="00DF76BA">
        <w:t xml:space="preserve">range. </w:t>
      </w:r>
      <w:r w:rsidR="00C005C1">
        <w:t>In addition, the vessel, which was being sold “as is” in Singapore, only had a modest amount of fuel</w:t>
      </w:r>
      <w:r w:rsidR="00AB54DF">
        <w:t xml:space="preserve"> oil left in its tanks. </w:t>
      </w:r>
    </w:p>
    <w:p w14:paraId="15A8D60E" w14:textId="4987AEC3" w:rsidR="00AB54DF" w:rsidRDefault="00AB54DF" w:rsidP="00AB117A">
      <w:pPr>
        <w:pStyle w:val="ParaLevel1"/>
      </w:pPr>
      <w:r>
        <w:t xml:space="preserve">On the </w:t>
      </w:r>
      <w:r w:rsidR="00950003">
        <w:t>Respondent</w:t>
      </w:r>
      <w:r>
        <w:t xml:space="preserve">’s evidence, the high price for the vessel and the small amount of oil left meant that the </w:t>
      </w:r>
      <w:r w:rsidR="00950003">
        <w:t>Appellant</w:t>
      </w:r>
      <w:r>
        <w:t xml:space="preserve"> </w:t>
      </w:r>
      <w:r w:rsidR="00356669">
        <w:t xml:space="preserve">would have </w:t>
      </w:r>
      <w:r>
        <w:t>kn</w:t>
      </w:r>
      <w:r w:rsidR="00356669">
        <w:t>own</w:t>
      </w:r>
      <w:r>
        <w:t xml:space="preserve"> that the vessel would be broken up in Bangladesh rather than anywhere else. The judge accepted that inference ([14]) and Mr Bright </w:t>
      </w:r>
      <w:r w:rsidR="00275D46">
        <w:t xml:space="preserve">QC </w:t>
      </w:r>
      <w:r w:rsidR="00F12425">
        <w:t xml:space="preserve">also </w:t>
      </w:r>
      <w:r>
        <w:t>accepte</w:t>
      </w:r>
      <w:r w:rsidR="00F12425">
        <w:t>d</w:t>
      </w:r>
      <w:r>
        <w:t xml:space="preserve"> that the applications </w:t>
      </w:r>
      <w:r w:rsidR="009277CC">
        <w:t xml:space="preserve">should be determined on the </w:t>
      </w:r>
      <w:r w:rsidR="00F12425">
        <w:t>assumption</w:t>
      </w:r>
      <w:r w:rsidR="009277CC">
        <w:t xml:space="preserve"> that the </w:t>
      </w:r>
      <w:r w:rsidR="00950003">
        <w:t>Appellant</w:t>
      </w:r>
      <w:r w:rsidR="009277CC">
        <w:t xml:space="preserve"> was aware of the ultimate destination of the vessel. </w:t>
      </w:r>
    </w:p>
    <w:p w14:paraId="619DCBB4" w14:textId="2088BBE5" w:rsidR="009277CC" w:rsidRDefault="009277CC" w:rsidP="00AB117A">
      <w:pPr>
        <w:pStyle w:val="ParaLevel1"/>
      </w:pPr>
      <w:r>
        <w:t>Why does that matter? The answer can be found in the expert evidence before the judge</w:t>
      </w:r>
      <w:r w:rsidR="00D10C87">
        <w:t xml:space="preserve">. For a tanker of this size, the only realistic place for it to </w:t>
      </w:r>
      <w:r w:rsidR="000446E7">
        <w:t xml:space="preserve">be </w:t>
      </w:r>
      <w:r w:rsidR="00D10C87">
        <w:t xml:space="preserve">broken up in safe working conditions was China (the </w:t>
      </w:r>
      <w:r w:rsidR="00950003">
        <w:t>Respondent</w:t>
      </w:r>
      <w:r w:rsidR="00D10C87">
        <w:t xml:space="preserve">’s </w:t>
      </w:r>
      <w:r w:rsidR="00491FCB">
        <w:t>expert evidence being that the only other</w:t>
      </w:r>
      <w:r w:rsidR="00EE49B2">
        <w:t xml:space="preserve"> safe</w:t>
      </w:r>
      <w:r w:rsidR="00491FCB">
        <w:t xml:space="preserve"> option, Turkey, could not have taken a vessel so large</w:t>
      </w:r>
      <w:r w:rsidR="001673AE">
        <w:t>)</w:t>
      </w:r>
      <w:r w:rsidR="00491FCB">
        <w:t xml:space="preserve">. But, </w:t>
      </w:r>
      <w:r w:rsidR="00382BEB">
        <w:t>for reasons of cost, hardly any oil tankers are demolished in China. As the judge noted at [15], out of the 11 million ton</w:t>
      </w:r>
      <w:r w:rsidR="00CD38E4">
        <w:t>ne</w:t>
      </w:r>
      <w:r w:rsidR="00382BEB">
        <w:t>s of oil tankers demolished in 2018</w:t>
      </w:r>
      <w:r w:rsidR="001673AE">
        <w:t>,</w:t>
      </w:r>
      <w:r w:rsidR="00382BEB">
        <w:t xml:space="preserve"> only 80,000 tons were broken up in Chinese and Turkish yards. </w:t>
      </w:r>
    </w:p>
    <w:p w14:paraId="4B772E38" w14:textId="3ED25C5C" w:rsidR="00382BEB" w:rsidRDefault="00382BEB" w:rsidP="00AB117A">
      <w:pPr>
        <w:pStyle w:val="ParaLevel1"/>
      </w:pPr>
      <w:r>
        <w:t xml:space="preserve">The vast majority of oil tankers are </w:t>
      </w:r>
      <w:r w:rsidR="0037242B">
        <w:t xml:space="preserve">instead </w:t>
      </w:r>
      <w:r>
        <w:t xml:space="preserve">broken up in Bangladesh (with some in India and Pakistan). The evidence </w:t>
      </w:r>
      <w:r w:rsidR="00D14C6E">
        <w:t>is that</w:t>
      </w:r>
      <w:r w:rsidR="00BC0987">
        <w:t xml:space="preserve"> the vessels </w:t>
      </w:r>
      <w:r w:rsidR="00756615">
        <w:t>are</w:t>
      </w:r>
      <w:r w:rsidR="00BC0987">
        <w:t xml:space="preserve"> beached</w:t>
      </w:r>
      <w:r w:rsidR="00D14C6E">
        <w:t xml:space="preserve"> there</w:t>
      </w:r>
      <w:r w:rsidR="00BC0987">
        <w:t xml:space="preserve">, that is to say driven onto tidal mud flats, where they </w:t>
      </w:r>
      <w:r w:rsidR="00210793">
        <w:t>a</w:t>
      </w:r>
      <w:r w:rsidR="00BC0987">
        <w:t xml:space="preserve">re </w:t>
      </w:r>
      <w:r w:rsidR="001362CC">
        <w:t xml:space="preserve">subsequently </w:t>
      </w:r>
      <w:r w:rsidR="00BC0987">
        <w:t>demolished by hand by workers</w:t>
      </w:r>
      <w:r w:rsidR="006727BD">
        <w:t>,</w:t>
      </w:r>
      <w:r w:rsidR="00BC0987">
        <w:t xml:space="preserve"> such as the deceased</w:t>
      </w:r>
      <w:r w:rsidR="006727BD">
        <w:t>,</w:t>
      </w:r>
      <w:r w:rsidR="00BC0987">
        <w:t xml:space="preserve"> working from the top </w:t>
      </w:r>
      <w:r w:rsidR="006727BD">
        <w:t xml:space="preserve">of the vessel </w:t>
      </w:r>
      <w:r w:rsidR="00BC0987">
        <w:t>down</w:t>
      </w:r>
      <w:r w:rsidR="00E41377">
        <w:t>wards</w:t>
      </w:r>
      <w:r w:rsidR="00BC0987">
        <w:t xml:space="preserve">. </w:t>
      </w:r>
      <w:r w:rsidR="00E95AC6">
        <w:t>The</w:t>
      </w:r>
      <w:r w:rsidR="00BA51E0">
        <w:t xml:space="preserve">re are no </w:t>
      </w:r>
      <w:r w:rsidR="001362CC">
        <w:t xml:space="preserve">heavy </w:t>
      </w:r>
      <w:r w:rsidR="00BA51E0">
        <w:t xml:space="preserve">cranes or </w:t>
      </w:r>
      <w:r w:rsidR="006B6BD8">
        <w:t xml:space="preserve">dock </w:t>
      </w:r>
      <w:r w:rsidR="00BA51E0">
        <w:t>infrastructure</w:t>
      </w:r>
      <w:r w:rsidR="006B6BD8">
        <w:t xml:space="preserve"> of any kind</w:t>
      </w:r>
      <w:r w:rsidR="00382697">
        <w:t xml:space="preserve">: </w:t>
      </w:r>
      <w:r w:rsidR="00DC1605">
        <w:t xml:space="preserve">no </w:t>
      </w:r>
      <w:r w:rsidR="006827C3">
        <w:t xml:space="preserve">cranes, </w:t>
      </w:r>
      <w:r w:rsidR="00BA51E0">
        <w:t>scaffolding</w:t>
      </w:r>
      <w:r w:rsidR="00DC1605">
        <w:t>, cradles or harnesses</w:t>
      </w:r>
      <w:r w:rsidR="00BA51E0">
        <w:t>.</w:t>
      </w:r>
      <w:r w:rsidR="00210793">
        <w:t xml:space="preserve"> T</w:t>
      </w:r>
      <w:r w:rsidR="00813252">
        <w:t xml:space="preserve">here </w:t>
      </w:r>
      <w:r w:rsidR="00B93167">
        <w:t>i</w:t>
      </w:r>
      <w:r w:rsidR="00813252">
        <w:t>s n</w:t>
      </w:r>
      <w:r w:rsidR="00210793">
        <w:t>othing</w:t>
      </w:r>
      <w:r w:rsidR="00813252">
        <w:t xml:space="preserve"> to allow for rapid emergency response</w:t>
      </w:r>
      <w:r w:rsidR="00E41377">
        <w:t>, and</w:t>
      </w:r>
      <w:r w:rsidR="00813252">
        <w:t xml:space="preserve"> few occupational health and safety controls or inspections.</w:t>
      </w:r>
      <w:r w:rsidR="00E41377">
        <w:t xml:space="preserve"> </w:t>
      </w:r>
      <w:r w:rsidR="006F5929">
        <w:t>The</w:t>
      </w:r>
      <w:r w:rsidR="00E95AC6">
        <w:t xml:space="preserve"> evidence </w:t>
      </w:r>
      <w:r w:rsidR="00E41377">
        <w:t>i</w:t>
      </w:r>
      <w:r w:rsidR="00E95AC6">
        <w:t>s that</w:t>
      </w:r>
      <w:r w:rsidR="006F5929">
        <w:t>,</w:t>
      </w:r>
      <w:r w:rsidR="00E95AC6">
        <w:t xml:space="preserve"> despite international concern registered in many ways over many years, </w:t>
      </w:r>
      <w:r w:rsidR="006F5929">
        <w:t xml:space="preserve">the dangerous working practices </w:t>
      </w:r>
      <w:r w:rsidR="007E44E7">
        <w:t xml:space="preserve">in </w:t>
      </w:r>
      <w:r w:rsidR="008221CC">
        <w:t xml:space="preserve">the </w:t>
      </w:r>
      <w:r w:rsidR="007E44E7">
        <w:t xml:space="preserve">Bangladesh </w:t>
      </w:r>
      <w:r w:rsidR="008221CC">
        <w:t xml:space="preserve">shipbreaking yards </w:t>
      </w:r>
      <w:r w:rsidR="00B93167">
        <w:t xml:space="preserve">inevitably </w:t>
      </w:r>
      <w:r w:rsidR="00E42271">
        <w:t xml:space="preserve">cause </w:t>
      </w:r>
      <w:r w:rsidR="00D457BD">
        <w:t xml:space="preserve">shockingly high rates of </w:t>
      </w:r>
      <w:r w:rsidR="00E42271">
        <w:t>death and serious injur</w:t>
      </w:r>
      <w:r w:rsidR="00D7348A">
        <w:t>y</w:t>
      </w:r>
      <w:r w:rsidR="00E95AC6">
        <w:t>.</w:t>
      </w:r>
    </w:p>
    <w:p w14:paraId="19046504" w14:textId="53C084C5" w:rsidR="001E78FB" w:rsidRDefault="00207B2A" w:rsidP="00AB117A">
      <w:pPr>
        <w:pStyle w:val="ParaLevel1"/>
      </w:pPr>
      <w:r>
        <w:t xml:space="preserve">Following the </w:t>
      </w:r>
      <w:proofErr w:type="spellStart"/>
      <w:r>
        <w:t>MoA</w:t>
      </w:r>
      <w:proofErr w:type="spellEnd"/>
      <w:r w:rsidR="00150C8F">
        <w:t>,</w:t>
      </w:r>
      <w:r>
        <w:t xml:space="preserve"> </w:t>
      </w:r>
      <w:proofErr w:type="spellStart"/>
      <w:r>
        <w:t>Hsejar</w:t>
      </w:r>
      <w:proofErr w:type="spellEnd"/>
      <w:r w:rsidR="00496A74">
        <w:t xml:space="preserve"> took delivery of the vessel on 5 September 2017. It was sailed from Singapore on</w:t>
      </w:r>
      <w:r w:rsidR="00301DE7">
        <w:t xml:space="preserve"> 22 September and beached at </w:t>
      </w:r>
      <w:proofErr w:type="spellStart"/>
      <w:r w:rsidR="00301DE7">
        <w:t>Chattogram</w:t>
      </w:r>
      <w:proofErr w:type="spellEnd"/>
      <w:r w:rsidR="00301DE7">
        <w:t xml:space="preserve"> on 30 September </w:t>
      </w:r>
      <w:r w:rsidR="00301DE7">
        <w:lastRenderedPageBreak/>
        <w:t xml:space="preserve">at the </w:t>
      </w:r>
      <w:r w:rsidR="00DB334A">
        <w:t xml:space="preserve">Zuma </w:t>
      </w:r>
      <w:r w:rsidR="00736D52">
        <w:t>Y</w:t>
      </w:r>
      <w:r w:rsidR="00DB334A">
        <w:t xml:space="preserve">ard. From </w:t>
      </w:r>
      <w:r w:rsidR="00E61B03">
        <w:t xml:space="preserve">the photographs, the </w:t>
      </w:r>
      <w:r w:rsidR="00736D52">
        <w:t>Zuma Yard</w:t>
      </w:r>
      <w:r w:rsidR="00E61B03">
        <w:t xml:space="preserve"> simply consisted of an area of the shoreline where </w:t>
      </w:r>
      <w:r w:rsidR="00581440">
        <w:t xml:space="preserve">numerous </w:t>
      </w:r>
      <w:r w:rsidR="00E61B03">
        <w:t xml:space="preserve">tankers </w:t>
      </w:r>
      <w:r w:rsidR="00B00394">
        <w:t>were</w:t>
      </w:r>
      <w:r w:rsidR="00E61B03">
        <w:t xml:space="preserve"> beached. </w:t>
      </w:r>
      <w:r w:rsidR="00A25001">
        <w:t xml:space="preserve">Six months later, </w:t>
      </w:r>
      <w:r w:rsidR="00185EF1">
        <w:t xml:space="preserve">on 30 March 2018, </w:t>
      </w:r>
      <w:r w:rsidR="00A25001">
        <w:t xml:space="preserve">the deceased was working </w:t>
      </w:r>
      <w:r w:rsidR="00CA4C97">
        <w:t>at the top of</w:t>
      </w:r>
      <w:r w:rsidR="00A25001">
        <w:t xml:space="preserve"> the vessel when he fell from a</w:t>
      </w:r>
      <w:r w:rsidR="00A321C0">
        <w:t xml:space="preserve"> considerable</w:t>
      </w:r>
      <w:r w:rsidR="00A25001">
        <w:t xml:space="preserve"> height and died of his injuries. </w:t>
      </w:r>
    </w:p>
    <w:p w14:paraId="373BCC23" w14:textId="4733658F" w:rsidR="003F7B7A" w:rsidRDefault="003F7B7A" w:rsidP="00AB117A">
      <w:pPr>
        <w:pStyle w:val="ParaLevel1"/>
      </w:pPr>
      <w:r>
        <w:t xml:space="preserve">The proceedings were commenced on 11 April 2019. The </w:t>
      </w:r>
      <w:r w:rsidR="00950003">
        <w:t>Respondent</w:t>
      </w:r>
      <w:r>
        <w:t xml:space="preserve">’s claim against the </w:t>
      </w:r>
      <w:r w:rsidR="00950003">
        <w:t>Appellant</w:t>
      </w:r>
      <w:r>
        <w:t xml:space="preserve"> is based on the existence of a duty of care arising out of </w:t>
      </w:r>
      <w:r w:rsidR="00127C3C">
        <w:t xml:space="preserve">the </w:t>
      </w:r>
      <w:r w:rsidR="00950003">
        <w:t>Appellant</w:t>
      </w:r>
      <w:r w:rsidR="00127C3C">
        <w:t xml:space="preserve">’s autonomous control of the sale </w:t>
      </w:r>
      <w:r w:rsidR="00FB76F5">
        <w:t xml:space="preserve">of the vessel </w:t>
      </w:r>
      <w:r w:rsidR="00127C3C">
        <w:t>and the</w:t>
      </w:r>
      <w:r w:rsidR="00B75E13">
        <w:t xml:space="preserve"> </w:t>
      </w:r>
      <w:r w:rsidR="00950003">
        <w:t>Appellant</w:t>
      </w:r>
      <w:r w:rsidR="00B75E13">
        <w:t>’s</w:t>
      </w:r>
      <w:r w:rsidR="00127C3C">
        <w:t xml:space="preserve"> knowledge that, as a result </w:t>
      </w:r>
      <w:r w:rsidR="005969B5">
        <w:t xml:space="preserve">of that sale, the vessel would be </w:t>
      </w:r>
      <w:r w:rsidR="00F40427">
        <w:t xml:space="preserve">broken up in </w:t>
      </w:r>
      <w:r w:rsidR="0063119B">
        <w:t xml:space="preserve">Bangladesh </w:t>
      </w:r>
      <w:r w:rsidR="00010BAD">
        <w:t xml:space="preserve">in </w:t>
      </w:r>
      <w:r w:rsidR="00F40427">
        <w:t xml:space="preserve">highly dangerous working conditions. </w:t>
      </w:r>
      <w:r w:rsidR="00424385">
        <w:t xml:space="preserve">That is, </w:t>
      </w:r>
      <w:r w:rsidR="00FD7C87">
        <w:t>in my</w:t>
      </w:r>
      <w:r w:rsidR="00424385">
        <w:t xml:space="preserve"> view, a</w:t>
      </w:r>
      <w:r w:rsidR="00B75E13">
        <w:t xml:space="preserve">n </w:t>
      </w:r>
      <w:r w:rsidR="00BC1C2A">
        <w:t>un</w:t>
      </w:r>
      <w:r w:rsidR="00B75E13">
        <w:t>usual</w:t>
      </w:r>
      <w:r w:rsidR="00424385">
        <w:t xml:space="preserve"> </w:t>
      </w:r>
      <w:r w:rsidR="00A84531">
        <w:t xml:space="preserve">basis of </w:t>
      </w:r>
      <w:r w:rsidR="00424385">
        <w:t>claim</w:t>
      </w:r>
      <w:r w:rsidR="00D06856">
        <w:t>.</w:t>
      </w:r>
      <w:r w:rsidR="00424385">
        <w:t xml:space="preserve"> </w:t>
      </w:r>
      <w:r w:rsidR="00A84531">
        <w:t>Moreover, it is the only basis</w:t>
      </w:r>
      <w:r w:rsidR="003F6E3B">
        <w:t xml:space="preserve"> available to the </w:t>
      </w:r>
      <w:r w:rsidR="00950003">
        <w:t>Respondent</w:t>
      </w:r>
      <w:r w:rsidR="003F6E3B">
        <w:t>: a</w:t>
      </w:r>
      <w:r w:rsidR="006B1167">
        <w:t xml:space="preserve">lthough there was a separate claim for unjust enrichment, the judge rejected that out of hand and there </w:t>
      </w:r>
      <w:r w:rsidR="00E376F8">
        <w:t>is no appeal from his decision</w:t>
      </w:r>
      <w:r w:rsidR="00D06856">
        <w:t xml:space="preserve"> on that aspect of the case</w:t>
      </w:r>
      <w:r w:rsidR="00E376F8">
        <w:t>.</w:t>
      </w:r>
    </w:p>
    <w:p w14:paraId="6169188F" w14:textId="77777777" w:rsidR="001068DB" w:rsidRPr="001068DB" w:rsidRDefault="00E376F8" w:rsidP="00AB117A">
      <w:pPr>
        <w:pStyle w:val="ParaLevel1"/>
        <w:numPr>
          <w:ilvl w:val="0"/>
          <w:numId w:val="0"/>
        </w:numPr>
        <w:rPr>
          <w:b/>
          <w:u w:val="single"/>
        </w:rPr>
      </w:pPr>
      <w:r w:rsidRPr="001068DB">
        <w:rPr>
          <w:b/>
          <w:u w:val="single"/>
        </w:rPr>
        <w:t>3 T</w:t>
      </w:r>
      <w:r w:rsidR="00502FEF" w:rsidRPr="001068DB">
        <w:rPr>
          <w:b/>
          <w:u w:val="single"/>
        </w:rPr>
        <w:t>HE RELEVANT PARTS OF THE JUDGMENT</w:t>
      </w:r>
    </w:p>
    <w:p w14:paraId="293EA14F" w14:textId="6B5E424F" w:rsidR="00A90E4D" w:rsidRDefault="001C21B7" w:rsidP="00AB117A">
      <w:pPr>
        <w:pStyle w:val="ParaLevel1"/>
      </w:pPr>
      <w:r>
        <w:t>At [</w:t>
      </w:r>
      <w:r w:rsidR="003B0402">
        <w:t xml:space="preserve">4] the judge explained why it was appropriate to consider the </w:t>
      </w:r>
      <w:r w:rsidR="00950003">
        <w:t>Appellant</w:t>
      </w:r>
      <w:r w:rsidR="003B0402">
        <w:t xml:space="preserve">’s </w:t>
      </w:r>
      <w:r w:rsidR="009B48FD">
        <w:t xml:space="preserve">applications by reference to the summary judgment test at Part 24.2, </w:t>
      </w:r>
      <w:r w:rsidR="00AA05C3">
        <w:t xml:space="preserve">and </w:t>
      </w:r>
      <w:r w:rsidR="00E376F8">
        <w:t>he</w:t>
      </w:r>
      <w:r w:rsidR="00AA05C3">
        <w:t xml:space="preserve"> reminded himself of the r</w:t>
      </w:r>
      <w:r w:rsidR="00E376F8">
        <w:t>elevant a</w:t>
      </w:r>
      <w:r w:rsidR="00AA05C3">
        <w:t>pp</w:t>
      </w:r>
      <w:r w:rsidR="00E376F8">
        <w:t>r</w:t>
      </w:r>
      <w:r w:rsidR="00AA05C3">
        <w:t>oach at [5]. He se</w:t>
      </w:r>
      <w:r w:rsidR="00F349D4">
        <w:t>t</w:t>
      </w:r>
      <w:r w:rsidR="00AA05C3">
        <w:t xml:space="preserve"> out the facts </w:t>
      </w:r>
      <w:r w:rsidR="00F349D4">
        <w:t>be</w:t>
      </w:r>
      <w:r w:rsidR="00E376F8">
        <w:t>t</w:t>
      </w:r>
      <w:r w:rsidR="00F349D4">
        <w:t xml:space="preserve">ween [6] and [19]. He addressed the alleged duty </w:t>
      </w:r>
      <w:r w:rsidR="00E376F8">
        <w:t xml:space="preserve">of </w:t>
      </w:r>
      <w:r w:rsidR="00F349D4">
        <w:t>care by reference to the pleadings ([23] – [26])</w:t>
      </w:r>
      <w:r w:rsidR="00A91224">
        <w:t xml:space="preserve">, </w:t>
      </w:r>
      <w:r w:rsidR="00E376F8">
        <w:t xml:space="preserve">the </w:t>
      </w:r>
      <w:r w:rsidR="00A91224">
        <w:t xml:space="preserve">skeleton argument ([27] – [28]); and the oral submissions </w:t>
      </w:r>
      <w:r w:rsidR="00A90E4D">
        <w:t>(</w:t>
      </w:r>
      <w:r w:rsidR="00A91224">
        <w:t xml:space="preserve">[29] </w:t>
      </w:r>
      <w:r w:rsidR="00891912">
        <w:t>– [32]</w:t>
      </w:r>
      <w:r w:rsidR="00A90E4D">
        <w:t>)</w:t>
      </w:r>
      <w:r w:rsidR="00891912">
        <w:t>.</w:t>
      </w:r>
      <w:r w:rsidR="00A90E4D">
        <w:t xml:space="preserve"> He summarised the </w:t>
      </w:r>
      <w:r w:rsidR="00950003">
        <w:t>Appellant</w:t>
      </w:r>
      <w:r w:rsidR="00A90E4D">
        <w:t>’s case at [33] – [35].</w:t>
      </w:r>
    </w:p>
    <w:p w14:paraId="74A0A462" w14:textId="162F4062" w:rsidR="00A47B08" w:rsidRDefault="00A90E4D" w:rsidP="00AB117A">
      <w:pPr>
        <w:pStyle w:val="ParaLevel1"/>
      </w:pPr>
      <w:r>
        <w:t xml:space="preserve">The judge’s analysis </w:t>
      </w:r>
      <w:r w:rsidR="004471A1">
        <w:t>of the duty of care</w:t>
      </w:r>
      <w:r w:rsidR="00FE535E">
        <w:t xml:space="preserve"> </w:t>
      </w:r>
      <w:r>
        <w:t>starts at [36]</w:t>
      </w:r>
      <w:r w:rsidR="000756CE">
        <w:t xml:space="preserve">. At [37] the judge considered the </w:t>
      </w:r>
      <w:r w:rsidR="00950003">
        <w:t>Respondent</w:t>
      </w:r>
      <w:r w:rsidR="000756CE">
        <w:t xml:space="preserve">’s first way of putting their case as to </w:t>
      </w:r>
      <w:r w:rsidR="00FE535E">
        <w:t>the existence of a</w:t>
      </w:r>
      <w:r w:rsidR="000756CE">
        <w:t xml:space="preserve"> duty, based on ordinary </w:t>
      </w:r>
      <w:r w:rsidR="000756CE" w:rsidRPr="003A1F07">
        <w:rPr>
          <w:i/>
        </w:rPr>
        <w:t>Donoghue v Stevenson</w:t>
      </w:r>
      <w:r w:rsidR="000756CE">
        <w:t xml:space="preserve"> principles.</w:t>
      </w:r>
      <w:r w:rsidR="00A47B08">
        <w:t xml:space="preserve"> The judge was plainly unimpressed with that way of putting the duty of care but, at [64] he indicated that he was not prepared to strike out the claim on that basis at this stage. </w:t>
      </w:r>
    </w:p>
    <w:p w14:paraId="4F84A42D" w14:textId="41EC1FBD" w:rsidR="00E376F8" w:rsidRDefault="00713FF7" w:rsidP="00AB117A">
      <w:pPr>
        <w:pStyle w:val="ParaLevel1"/>
      </w:pPr>
      <w:r>
        <w:t>Between [38] and [63], the judge addresse</w:t>
      </w:r>
      <w:r w:rsidR="007F2991">
        <w:t>d</w:t>
      </w:r>
      <w:r>
        <w:t xml:space="preserve"> the alternative basis for the alleged duty, by reference to the </w:t>
      </w:r>
      <w:r w:rsidR="00950003">
        <w:t>Appellant</w:t>
      </w:r>
      <w:r>
        <w:t xml:space="preserve">’s responsibility for </w:t>
      </w:r>
      <w:r w:rsidR="00F66186">
        <w:t xml:space="preserve">creating a danger </w:t>
      </w:r>
      <w:r w:rsidR="008317DE">
        <w:t xml:space="preserve">which then put </w:t>
      </w:r>
      <w:r>
        <w:t xml:space="preserve">workers such as </w:t>
      </w:r>
      <w:r w:rsidR="007F2991">
        <w:t>the deceased</w:t>
      </w:r>
      <w:r>
        <w:t xml:space="preserve"> </w:t>
      </w:r>
      <w:r w:rsidR="008317DE">
        <w:t>at risk from</w:t>
      </w:r>
      <w:r>
        <w:t xml:space="preserve"> </w:t>
      </w:r>
      <w:r w:rsidR="00581EA2">
        <w:t xml:space="preserve">the conduct of third parties, such as </w:t>
      </w:r>
      <w:r w:rsidR="005E2DA1">
        <w:t xml:space="preserve">the </w:t>
      </w:r>
      <w:r w:rsidR="00581EA2">
        <w:t>Zuma</w:t>
      </w:r>
      <w:r w:rsidR="005E2DA1">
        <w:t xml:space="preserve"> Yard</w:t>
      </w:r>
      <w:r w:rsidR="00581EA2">
        <w:t>.</w:t>
      </w:r>
      <w:r w:rsidR="000756CE">
        <w:t xml:space="preserve"> </w:t>
      </w:r>
      <w:r w:rsidR="00447102">
        <w:t xml:space="preserve">With respect to him, the judge’s analysis </w:t>
      </w:r>
      <w:r w:rsidR="005E2DA1">
        <w:t>in these paragra</w:t>
      </w:r>
      <w:r w:rsidR="00616821">
        <w:t xml:space="preserve">phs </w:t>
      </w:r>
      <w:r w:rsidR="00037DD2">
        <w:t>i</w:t>
      </w:r>
      <w:r w:rsidR="00447102">
        <w:t>s not always</w:t>
      </w:r>
      <w:r w:rsidR="00D97DB8">
        <w:t xml:space="preserve"> easy</w:t>
      </w:r>
      <w:r w:rsidR="00447102">
        <w:t xml:space="preserve"> to follow, in part because </w:t>
      </w:r>
      <w:r w:rsidR="00677FB3">
        <w:t>he</w:t>
      </w:r>
      <w:r w:rsidR="00447102">
        <w:t xml:space="preserve"> conclude</w:t>
      </w:r>
      <w:r w:rsidR="00546DBE">
        <w:t>d</w:t>
      </w:r>
      <w:r w:rsidR="00447102">
        <w:t xml:space="preserve"> that this case </w:t>
      </w:r>
      <w:r w:rsidR="00E75B0C">
        <w:t>d</w:t>
      </w:r>
      <w:r w:rsidR="00546DBE">
        <w:t>id</w:t>
      </w:r>
      <w:r w:rsidR="00E75B0C">
        <w:t xml:space="preserve"> not easily fit within </w:t>
      </w:r>
      <w:r w:rsidR="00E06FE3">
        <w:t>a</w:t>
      </w:r>
      <w:r w:rsidR="00E75B0C">
        <w:t xml:space="preserve"> particular category of liability</w:t>
      </w:r>
      <w:r w:rsidR="00E06FE3">
        <w:t xml:space="preserve"> recognised in the authorities</w:t>
      </w:r>
      <w:r w:rsidR="00E75B0C">
        <w:t>. At [53] the judge</w:t>
      </w:r>
      <w:r w:rsidR="00E06FE3">
        <w:t xml:space="preserve"> referred to</w:t>
      </w:r>
      <w:r w:rsidR="00E75B0C">
        <w:t xml:space="preserve"> </w:t>
      </w:r>
      <w:r w:rsidR="00651938">
        <w:t>“</w:t>
      </w:r>
      <w:r w:rsidR="002E6457">
        <w:t xml:space="preserve">the </w:t>
      </w:r>
      <w:r w:rsidR="00651938">
        <w:t>creation of danger principle”</w:t>
      </w:r>
      <w:r w:rsidR="008127FA">
        <w:t>, examined it</w:t>
      </w:r>
      <w:r w:rsidR="00474EE0">
        <w:t xml:space="preserve"> by reference to the authorities</w:t>
      </w:r>
      <w:r w:rsidR="008127FA">
        <w:t xml:space="preserve"> and </w:t>
      </w:r>
      <w:r w:rsidR="00474EE0">
        <w:t>the factual assumptions</w:t>
      </w:r>
      <w:r w:rsidR="008127FA">
        <w:t xml:space="preserve"> he was being asked to make,</w:t>
      </w:r>
      <w:r w:rsidR="00474EE0">
        <w:t xml:space="preserve"> and conclude</w:t>
      </w:r>
      <w:r w:rsidR="008127FA">
        <w:t>d</w:t>
      </w:r>
      <w:r w:rsidR="00474EE0">
        <w:t xml:space="preserve"> that it could not be said that a claim </w:t>
      </w:r>
      <w:r w:rsidR="008127FA">
        <w:t xml:space="preserve">based on </w:t>
      </w:r>
      <w:r w:rsidR="00C5263A">
        <w:t>such a</w:t>
      </w:r>
      <w:r w:rsidR="008127FA">
        <w:t xml:space="preserve"> </w:t>
      </w:r>
      <w:r w:rsidR="00F42E0D">
        <w:t xml:space="preserve">duty </w:t>
      </w:r>
      <w:r w:rsidR="00474EE0">
        <w:t>w</w:t>
      </w:r>
      <w:r w:rsidR="00F42E0D">
        <w:t xml:space="preserve">as bound to </w:t>
      </w:r>
      <w:r w:rsidR="00474EE0">
        <w:t xml:space="preserve">fail. </w:t>
      </w:r>
    </w:p>
    <w:p w14:paraId="075614DA" w14:textId="47EE9321" w:rsidR="009E2FB2" w:rsidRDefault="00165DE4" w:rsidP="00AB117A">
      <w:pPr>
        <w:pStyle w:val="ParaLevel1"/>
      </w:pPr>
      <w:r>
        <w:t xml:space="preserve">Having rejected the unjust enrichment claim between [66] and [74], the judge then </w:t>
      </w:r>
      <w:r w:rsidR="00B24838">
        <w:t xml:space="preserve">turned to </w:t>
      </w:r>
      <w:r w:rsidR="00F42E0D">
        <w:t xml:space="preserve">the </w:t>
      </w:r>
      <w:r w:rsidR="00B24838">
        <w:t>limitation</w:t>
      </w:r>
      <w:r w:rsidR="00F42E0D">
        <w:t xml:space="preserve"> issues</w:t>
      </w:r>
      <w:r w:rsidR="00B24838">
        <w:t>. On an application of Article 4 of Rom</w:t>
      </w:r>
      <w:r w:rsidR="00E412D0">
        <w:t xml:space="preserve">e II, the judge concluded that the law of Bangladesh applied ([77]). However, that finding was subject to the </w:t>
      </w:r>
      <w:r w:rsidR="00950003">
        <w:t>Respondent</w:t>
      </w:r>
      <w:r w:rsidR="00E412D0">
        <w:t xml:space="preserve">’s contention that this was a case of “environmental damage” and </w:t>
      </w:r>
      <w:r w:rsidR="002A53AB">
        <w:t xml:space="preserve">that Article 7 of Rome II applied. If that was right, </w:t>
      </w:r>
      <w:r w:rsidR="0074455E">
        <w:t>it</w:t>
      </w:r>
      <w:r w:rsidR="002A53AB">
        <w:t xml:space="preserve"> provided the </w:t>
      </w:r>
      <w:r w:rsidR="00950003">
        <w:t>Respondent</w:t>
      </w:r>
      <w:r w:rsidR="002A53AB">
        <w:t xml:space="preserve"> with at least an argument that it was English law which applied. The judge considered that argument at [82] – [84] and concluded that the </w:t>
      </w:r>
      <w:r w:rsidR="00950003">
        <w:t>Respondent</w:t>
      </w:r>
      <w:r w:rsidR="002A53AB">
        <w:t xml:space="preserve"> had a real prospect of success on that issue.</w:t>
      </w:r>
    </w:p>
    <w:p w14:paraId="0C6AB542" w14:textId="5CDD54DC" w:rsidR="009E2FB2" w:rsidRDefault="00DC5DD8" w:rsidP="00AB117A">
      <w:pPr>
        <w:pStyle w:val="ParaLevel1"/>
      </w:pPr>
      <w:r>
        <w:t>The ju</w:t>
      </w:r>
      <w:r w:rsidR="002E6457">
        <w:t>d</w:t>
      </w:r>
      <w:r>
        <w:t xml:space="preserve">ge decided </w:t>
      </w:r>
      <w:r w:rsidR="00F03824">
        <w:t>at [86]</w:t>
      </w:r>
      <w:r w:rsidR="008D568A">
        <w:t>-</w:t>
      </w:r>
      <w:r w:rsidR="00F03824">
        <w:t xml:space="preserve">[97] that the relevant limitation period under Bangladeshi </w:t>
      </w:r>
      <w:r w:rsidR="00314C4B">
        <w:t>law was a period of one year from the date of the accident and that that wa</w:t>
      </w:r>
      <w:r w:rsidR="002E6457">
        <w:t>s</w:t>
      </w:r>
      <w:r w:rsidR="00314C4B">
        <w:t xml:space="preserve"> not extendable in any circumstances. </w:t>
      </w:r>
      <w:r w:rsidR="00411CCF">
        <w:t>On that basis,</w:t>
      </w:r>
      <w:r w:rsidR="00314C4B">
        <w:t xml:space="preserve"> the limitation period expired on </w:t>
      </w:r>
      <w:r w:rsidR="009F2E99">
        <w:t xml:space="preserve">29 </w:t>
      </w:r>
      <w:r w:rsidR="009F2E99">
        <w:lastRenderedPageBreak/>
        <w:t>March 2019 and, because this claim was not commenced until 11 April 2019, the present claim, if governed by Bangladeshi law, was statute-barred</w:t>
      </w:r>
      <w:r w:rsidR="00CA7A08">
        <w:t xml:space="preserve"> ([97]). However, this was not only subject to the Article 7 (environ</w:t>
      </w:r>
      <w:r w:rsidR="00BB2B52">
        <w:t>mental damage) argument</w:t>
      </w:r>
      <w:r w:rsidR="008D568A">
        <w:t xml:space="preserve"> noted above</w:t>
      </w:r>
      <w:r w:rsidR="00BB2B52">
        <w:t xml:space="preserve">, but </w:t>
      </w:r>
      <w:r w:rsidR="008D568A">
        <w:t xml:space="preserve">was </w:t>
      </w:r>
      <w:r w:rsidR="00BB2B52">
        <w:t>also subject to a separate argument under Article 26 as to whether or not the one</w:t>
      </w:r>
      <w:r w:rsidR="00AC2EF3">
        <w:t>-</w:t>
      </w:r>
      <w:r w:rsidR="00BB2B52">
        <w:t xml:space="preserve">year </w:t>
      </w:r>
      <w:r w:rsidR="0042399E">
        <w:t xml:space="preserve">limitation </w:t>
      </w:r>
      <w:r w:rsidR="00BB2B52">
        <w:t>period could be disapplied.</w:t>
      </w:r>
      <w:r w:rsidR="00DE67CA">
        <w:t xml:space="preserve"> The judge dealt with that very brie</w:t>
      </w:r>
      <w:r w:rsidR="002E6457">
        <w:t>f</w:t>
      </w:r>
      <w:r w:rsidR="00DE67CA">
        <w:t xml:space="preserve">ly at [85], given that this appears to have been a point </w:t>
      </w:r>
      <w:r w:rsidR="00247662">
        <w:t>which, through no fault of the judge, had been dealt with summarily in the dr</w:t>
      </w:r>
      <w:r w:rsidR="002E6457">
        <w:t>a</w:t>
      </w:r>
      <w:r w:rsidR="00247662">
        <w:t>ft judgment</w:t>
      </w:r>
      <w:r w:rsidR="00EF7730">
        <w:t xml:space="preserve"> and had then arisen in the parties’ comments on that draft</w:t>
      </w:r>
      <w:r w:rsidR="00247662">
        <w:t xml:space="preserve">. </w:t>
      </w:r>
      <w:r w:rsidR="001018C1">
        <w:t>The judge’</w:t>
      </w:r>
      <w:r w:rsidR="002E6457">
        <w:t>s</w:t>
      </w:r>
      <w:r w:rsidR="001018C1">
        <w:t xml:space="preserve"> conclusion at [85] was that</w:t>
      </w:r>
      <w:r w:rsidR="00CC2207">
        <w:t>, in view of the detailed claim letter,</w:t>
      </w:r>
      <w:r w:rsidR="001018C1">
        <w:t xml:space="preserve"> the </w:t>
      </w:r>
      <w:r w:rsidR="00950003">
        <w:t>Respondent</w:t>
      </w:r>
      <w:r w:rsidR="001018C1">
        <w:t xml:space="preserve"> had no argument </w:t>
      </w:r>
      <w:r w:rsidR="00CC2207">
        <w:t xml:space="preserve">that </w:t>
      </w:r>
      <w:r w:rsidR="00922290">
        <w:t>the period should be dis</w:t>
      </w:r>
      <w:r w:rsidR="0044424A">
        <w:t>a</w:t>
      </w:r>
      <w:r w:rsidR="00922290">
        <w:t xml:space="preserve">pplied </w:t>
      </w:r>
      <w:r w:rsidR="0044424A">
        <w:t xml:space="preserve">because </w:t>
      </w:r>
      <w:r w:rsidR="00CC2207">
        <w:t>she had not had</w:t>
      </w:r>
      <w:r w:rsidR="001018C1">
        <w:t xml:space="preserve"> access to justice, but that, as to the more general point as to </w:t>
      </w:r>
      <w:r w:rsidR="00B62866">
        <w:t>whether it would be offensive in English law to countenance so short a limitation period, it would not be right to determine that issue at this stage. That is therefore the second time bar point which arises on this appeal.</w:t>
      </w:r>
    </w:p>
    <w:p w14:paraId="32545B59" w14:textId="12A0DB43" w:rsidR="003A78D0" w:rsidRPr="003A78D0" w:rsidRDefault="003A78D0" w:rsidP="00AB117A">
      <w:pPr>
        <w:pStyle w:val="ParaLevel1"/>
        <w:numPr>
          <w:ilvl w:val="0"/>
          <w:numId w:val="0"/>
        </w:numPr>
        <w:rPr>
          <w:b/>
          <w:u w:val="single"/>
        </w:rPr>
      </w:pPr>
      <w:r w:rsidRPr="003A78D0">
        <w:rPr>
          <w:b/>
          <w:u w:val="single"/>
        </w:rPr>
        <w:t>4 STRIKING OUT/SUMMARY JUDGMENT</w:t>
      </w:r>
    </w:p>
    <w:p w14:paraId="28C7D9BF" w14:textId="4ACD7FB7" w:rsidR="000332C9" w:rsidRDefault="003A78D0" w:rsidP="00AB117A">
      <w:pPr>
        <w:pStyle w:val="ParaLevel1"/>
      </w:pPr>
      <w:r>
        <w:t xml:space="preserve">The </w:t>
      </w:r>
      <w:r w:rsidR="00950003">
        <w:t>Appellant</w:t>
      </w:r>
      <w:r w:rsidR="00CD38E4">
        <w:t>’</w:t>
      </w:r>
      <w:r>
        <w:t>s application before the ju</w:t>
      </w:r>
      <w:r w:rsidR="002E6457">
        <w:t>d</w:t>
      </w:r>
      <w:r>
        <w:t>ge sought an order pursuant to r.3.4(2)(a)</w:t>
      </w:r>
      <w:r w:rsidR="00897D92">
        <w:t xml:space="preserve"> that the particulars of claim disclosed “no reasonable grounds” </w:t>
      </w:r>
      <w:r w:rsidR="002E6457">
        <w:t>f</w:t>
      </w:r>
      <w:r w:rsidR="00897D92">
        <w:t>or bringing the cl</w:t>
      </w:r>
      <w:r w:rsidR="002E6457">
        <w:t>a</w:t>
      </w:r>
      <w:r w:rsidR="00897D92">
        <w:t xml:space="preserve">im and </w:t>
      </w:r>
      <w:r w:rsidR="002E6457">
        <w:t>s</w:t>
      </w:r>
      <w:r w:rsidR="00897D92">
        <w:t>houl</w:t>
      </w:r>
      <w:r w:rsidR="002E6457">
        <w:t>d</w:t>
      </w:r>
      <w:r w:rsidR="00897D92">
        <w:t xml:space="preserve"> be struck out </w:t>
      </w:r>
      <w:r w:rsidR="00E90666">
        <w:t>and</w:t>
      </w:r>
      <w:r w:rsidR="000971FE">
        <w:t>,</w:t>
      </w:r>
      <w:r w:rsidR="00E90666">
        <w:t xml:space="preserve"> in the alternative</w:t>
      </w:r>
      <w:r w:rsidR="000971FE">
        <w:t>,</w:t>
      </w:r>
      <w:r w:rsidR="00E90666">
        <w:t xml:space="preserve"> </w:t>
      </w:r>
      <w:r w:rsidR="00245DC0">
        <w:t>a</w:t>
      </w:r>
      <w:r w:rsidR="00E90666">
        <w:t xml:space="preserve"> claim for summary judgment pursuant to r.24.2(a)(</w:t>
      </w:r>
      <w:proofErr w:type="spellStart"/>
      <w:r w:rsidR="00E90666">
        <w:t>i</w:t>
      </w:r>
      <w:proofErr w:type="spellEnd"/>
      <w:r w:rsidR="00E90666">
        <w:t xml:space="preserve">) that the </w:t>
      </w:r>
      <w:r w:rsidR="00950003">
        <w:t>Respondent</w:t>
      </w:r>
      <w:r w:rsidR="003529B0">
        <w:t xml:space="preserve"> </w:t>
      </w:r>
      <w:r w:rsidR="00E90666">
        <w:t>had no real prospect of succeeding on the claim.</w:t>
      </w:r>
      <w:r w:rsidR="00FD0EED">
        <w:t xml:space="preserve"> There can </w:t>
      </w:r>
      <w:r w:rsidR="00A54CC4">
        <w:t xml:space="preserve">sometimes </w:t>
      </w:r>
      <w:r w:rsidR="00FD0EED">
        <w:t>be procedural consequences if applications are made under the ‘wrong’ rule (which do not arise here) but, in a case like this</w:t>
      </w:r>
      <w:r w:rsidR="00CD5976">
        <w:t xml:space="preserve"> (where the striking-out is based on the nature of the pleading, not a failure to comply with an order)</w:t>
      </w:r>
      <w:r w:rsidR="00861FEC">
        <w:t>,</w:t>
      </w:r>
      <w:r w:rsidR="00FD0EED">
        <w:t xml:space="preserve"> there is no difference </w:t>
      </w:r>
      <w:r w:rsidR="005C0BBF">
        <w:t xml:space="preserve">between the tests </w:t>
      </w:r>
      <w:r w:rsidR="00861FEC">
        <w:t xml:space="preserve">to be </w:t>
      </w:r>
      <w:r w:rsidR="005C0BBF">
        <w:t xml:space="preserve">applied by the court under the two </w:t>
      </w:r>
      <w:r w:rsidR="007204E4">
        <w:t>rules</w:t>
      </w:r>
      <w:r w:rsidR="00A2343A">
        <w:t xml:space="preserve">. </w:t>
      </w:r>
    </w:p>
    <w:p w14:paraId="74B85215" w14:textId="5A3F8CE2" w:rsidR="009E2FB2" w:rsidRDefault="00786A85" w:rsidP="00AB117A">
      <w:pPr>
        <w:pStyle w:val="ParaLevel1"/>
      </w:pPr>
      <w:r>
        <w:t>A</w:t>
      </w:r>
      <w:r w:rsidR="00A2343A">
        <w:t xml:space="preserve">ccordingly, I do not agree with the judge’s observation </w:t>
      </w:r>
      <w:r w:rsidR="000332C9">
        <w:t>at [</w:t>
      </w:r>
      <w:r w:rsidR="00244958">
        <w:t>4</w:t>
      </w:r>
      <w:r w:rsidR="000332C9">
        <w:t xml:space="preserve">] </w:t>
      </w:r>
      <w:r w:rsidR="00A2343A">
        <w:t xml:space="preserve">that </w:t>
      </w:r>
      <w:r w:rsidR="007204E4">
        <w:t xml:space="preserve">somehow </w:t>
      </w:r>
      <w:r w:rsidR="004D64C9">
        <w:t xml:space="preserve">the test under </w:t>
      </w:r>
      <w:r w:rsidR="00A2343A">
        <w:t xml:space="preserve">r.24.2 is </w:t>
      </w:r>
      <w:r w:rsidR="007204E4">
        <w:t>“</w:t>
      </w:r>
      <w:r w:rsidR="00A2343A">
        <w:t>less onerous</w:t>
      </w:r>
      <w:r>
        <w:t xml:space="preserve"> from a defendant’s perspective</w:t>
      </w:r>
      <w:r w:rsidR="007204E4">
        <w:t>”</w:t>
      </w:r>
      <w:r>
        <w:t xml:space="preserve">. </w:t>
      </w:r>
      <w:r w:rsidR="007A6078">
        <w:t xml:space="preserve">In a case </w:t>
      </w:r>
      <w:r w:rsidR="000B64F0">
        <w:t xml:space="preserve">of </w:t>
      </w:r>
      <w:r w:rsidR="007A6078">
        <w:t>this</w:t>
      </w:r>
      <w:r w:rsidR="000B64F0">
        <w:t xml:space="preserve"> kind</w:t>
      </w:r>
      <w:r w:rsidR="007A6078">
        <w:t>, t</w:t>
      </w:r>
      <w:r>
        <w:t>he</w:t>
      </w:r>
      <w:r w:rsidR="004D64C9">
        <w:t xml:space="preserve"> rules</w:t>
      </w:r>
      <w:r>
        <w:t xml:space="preserve"> should be t</w:t>
      </w:r>
      <w:r w:rsidR="00D640A8">
        <w:t>aken</w:t>
      </w:r>
      <w:r>
        <w:t xml:space="preserve"> </w:t>
      </w:r>
      <w:r w:rsidR="000332C9">
        <w:t>together</w:t>
      </w:r>
      <w:r w:rsidR="00CA4178">
        <w:t xml:space="preserve">, </w:t>
      </w:r>
      <w:r w:rsidR="000B64F0">
        <w:t>and</w:t>
      </w:r>
      <w:r w:rsidR="00CA4178">
        <w:t xml:space="preserve"> a common test</w:t>
      </w:r>
      <w:r w:rsidR="00D640A8">
        <w:t xml:space="preserve"> applied</w:t>
      </w:r>
      <w:r>
        <w:t xml:space="preserve">. </w:t>
      </w:r>
      <w:r w:rsidR="001B6290">
        <w:t xml:space="preserve">If a defendant is entitled to summary judgment because the claimant has no realistic prospect of success, then the </w:t>
      </w:r>
      <w:r w:rsidR="00A54CC4">
        <w:t xml:space="preserve">statement of </w:t>
      </w:r>
      <w:r w:rsidR="001B6290">
        <w:t xml:space="preserve">claim </w:t>
      </w:r>
      <w:r w:rsidR="009E18D5">
        <w:t>discloses no reasonable grounds for bringing the claim and should be struck out</w:t>
      </w:r>
      <w:r w:rsidR="00C00E46">
        <w:t>: see</w:t>
      </w:r>
      <w:r w:rsidR="000B08D4">
        <w:t xml:space="preserve"> </w:t>
      </w:r>
      <w:r w:rsidR="000B08D4">
        <w:rPr>
          <w:i/>
        </w:rPr>
        <w:t xml:space="preserve">Global Asset Capital Inc </w:t>
      </w:r>
      <w:r w:rsidR="000B08D4" w:rsidRPr="005909FA">
        <w:t xml:space="preserve">v </w:t>
      </w:r>
      <w:proofErr w:type="spellStart"/>
      <w:r w:rsidR="000B08D4" w:rsidRPr="00C3684D">
        <w:rPr>
          <w:i/>
        </w:rPr>
        <w:t>Aabar</w:t>
      </w:r>
      <w:proofErr w:type="spellEnd"/>
      <w:r w:rsidR="000B08D4" w:rsidRPr="00C3684D">
        <w:rPr>
          <w:i/>
        </w:rPr>
        <w:t xml:space="preserve"> Block </w:t>
      </w:r>
      <w:proofErr w:type="spellStart"/>
      <w:r w:rsidR="000B08D4" w:rsidRPr="00C3684D">
        <w:rPr>
          <w:i/>
        </w:rPr>
        <w:t>S</w:t>
      </w:r>
      <w:r w:rsidR="000B08D4">
        <w:rPr>
          <w:i/>
        </w:rPr>
        <w:t>ARL</w:t>
      </w:r>
      <w:proofErr w:type="spellEnd"/>
      <w:r w:rsidR="000B08D4">
        <w:t xml:space="preserve"> [2017] </w:t>
      </w:r>
      <w:proofErr w:type="spellStart"/>
      <w:r w:rsidR="000B08D4">
        <w:t>EWCA</w:t>
      </w:r>
      <w:proofErr w:type="spellEnd"/>
      <w:r w:rsidR="000B08D4">
        <w:t xml:space="preserve"> </w:t>
      </w:r>
      <w:proofErr w:type="spellStart"/>
      <w:r w:rsidR="000B08D4">
        <w:t>Civ</w:t>
      </w:r>
      <w:proofErr w:type="spellEnd"/>
      <w:r w:rsidR="000B08D4">
        <w:t xml:space="preserve"> 37; [2017] 4 WLR 16 at [27].</w:t>
      </w:r>
    </w:p>
    <w:p w14:paraId="41784CF0" w14:textId="644180E5" w:rsidR="009E18D5" w:rsidRDefault="00C00E46" w:rsidP="00AB117A">
      <w:pPr>
        <w:pStyle w:val="ParaLevel1"/>
      </w:pPr>
      <w:r>
        <w:t xml:space="preserve">As to the </w:t>
      </w:r>
      <w:r w:rsidR="00CA4178">
        <w:t xml:space="preserve">applicable </w:t>
      </w:r>
      <w:r w:rsidR="00ED385C">
        <w:t>test itself</w:t>
      </w:r>
      <w:r w:rsidR="009E18D5">
        <w:t>:</w:t>
      </w:r>
    </w:p>
    <w:p w14:paraId="71DD4511" w14:textId="42EBC1D2" w:rsidR="009E18D5" w:rsidRDefault="009E18D5" w:rsidP="00AB117A">
      <w:pPr>
        <w:pStyle w:val="ParaLevel1"/>
        <w:numPr>
          <w:ilvl w:val="0"/>
          <w:numId w:val="0"/>
        </w:numPr>
        <w:ind w:left="1117" w:hanging="397"/>
      </w:pPr>
      <w:r>
        <w:t xml:space="preserve">(a) </w:t>
      </w:r>
      <w:r w:rsidR="004471DA">
        <w:t>The co</w:t>
      </w:r>
      <w:r w:rsidR="00786B1C">
        <w:t xml:space="preserve">urt must </w:t>
      </w:r>
      <w:r>
        <w:t>consider whether the claimant has a “realistic” as opposed to a “fanciful” prospect of success:</w:t>
      </w:r>
      <w:r w:rsidR="00BB00E5">
        <w:t xml:space="preserve"> </w:t>
      </w:r>
      <w:r w:rsidR="00BB00E5">
        <w:rPr>
          <w:i/>
        </w:rPr>
        <w:t xml:space="preserve">Swain v Hillman </w:t>
      </w:r>
      <w:r w:rsidR="00BB00E5">
        <w:t xml:space="preserve">[2001] 1 </w:t>
      </w:r>
      <w:r w:rsidR="00B87B4A">
        <w:t>All</w:t>
      </w:r>
      <w:r w:rsidR="00BB00E5">
        <w:t xml:space="preserve"> ER 91</w:t>
      </w:r>
      <w:r w:rsidR="00B87B4A">
        <w:t>. A realistic claim is one that carries some degree of conviction</w:t>
      </w:r>
      <w:r w:rsidR="00E712B4">
        <w:t xml:space="preserve">: </w:t>
      </w:r>
      <w:r w:rsidR="00644A5B">
        <w:rPr>
          <w:i/>
        </w:rPr>
        <w:t xml:space="preserve">ED &amp; F Man Liquid Products v Patel </w:t>
      </w:r>
      <w:r w:rsidR="00644A5B">
        <w:t xml:space="preserve">[2003] </w:t>
      </w:r>
      <w:proofErr w:type="spellStart"/>
      <w:r w:rsidR="00644A5B">
        <w:t>EWCA</w:t>
      </w:r>
      <w:proofErr w:type="spellEnd"/>
      <w:r w:rsidR="00644A5B">
        <w:t xml:space="preserve"> </w:t>
      </w:r>
      <w:proofErr w:type="spellStart"/>
      <w:r w:rsidR="00644A5B">
        <w:t>Civ</w:t>
      </w:r>
      <w:proofErr w:type="spellEnd"/>
      <w:r w:rsidR="00644A5B">
        <w:t xml:space="preserve"> 472.</w:t>
      </w:r>
      <w:r w:rsidR="00137F9A">
        <w:t xml:space="preserve"> </w:t>
      </w:r>
      <w:r w:rsidR="00725FCF">
        <w:t xml:space="preserve">But that should not be carried too far: </w:t>
      </w:r>
      <w:r w:rsidR="00FF07BB">
        <w:t>in essence, the court is determi</w:t>
      </w:r>
      <w:r w:rsidR="00D63E04">
        <w:t>ni</w:t>
      </w:r>
      <w:r w:rsidR="00FF07BB">
        <w:t xml:space="preserve">ng whether or not the claim is “bound to fail”: </w:t>
      </w:r>
      <w:proofErr w:type="spellStart"/>
      <w:r w:rsidR="008D441E" w:rsidRPr="00D63E04">
        <w:rPr>
          <w:i/>
          <w:iCs/>
        </w:rPr>
        <w:t>Altimo</w:t>
      </w:r>
      <w:proofErr w:type="spellEnd"/>
      <w:r w:rsidR="008D441E" w:rsidRPr="00D63E04">
        <w:rPr>
          <w:i/>
          <w:iCs/>
        </w:rPr>
        <w:t xml:space="preserve"> Holdings v Kyrgyz Mobil Tel Ltd</w:t>
      </w:r>
      <w:r w:rsidR="008D441E">
        <w:t xml:space="preserve"> [2012] 1WLR </w:t>
      </w:r>
      <w:r w:rsidR="004D563D">
        <w:t>1804 at [80] and [82].</w:t>
      </w:r>
    </w:p>
    <w:p w14:paraId="5E31D6CE" w14:textId="5F6C9863" w:rsidR="009E2FB2" w:rsidRPr="00A01CE1" w:rsidRDefault="00820641" w:rsidP="00AB117A">
      <w:pPr>
        <w:pStyle w:val="ParaLevel1"/>
        <w:numPr>
          <w:ilvl w:val="0"/>
          <w:numId w:val="0"/>
        </w:numPr>
        <w:ind w:left="1117" w:hanging="397"/>
      </w:pPr>
      <w:r>
        <w:t xml:space="preserve">(b) </w:t>
      </w:r>
      <w:r w:rsidR="00FF0C5B">
        <w:t>The court m</w:t>
      </w:r>
      <w:r>
        <w:t>ust not conduct a mini-trial</w:t>
      </w:r>
      <w:r w:rsidR="0081459E">
        <w:t xml:space="preserve">: </w:t>
      </w:r>
      <w:r w:rsidR="00346676">
        <w:rPr>
          <w:i/>
        </w:rPr>
        <w:t>Three Rivers District</w:t>
      </w:r>
      <w:r w:rsidR="0070585C">
        <w:rPr>
          <w:i/>
        </w:rPr>
        <w:t xml:space="preserve"> Council v Governor and Company of the Bank of England (No 3) </w:t>
      </w:r>
      <w:r w:rsidR="0070585C" w:rsidRPr="0081459E">
        <w:rPr>
          <w:iCs/>
        </w:rPr>
        <w:t>[2003] 2 AC 1</w:t>
      </w:r>
      <w:r w:rsidR="00666B3E">
        <w:rPr>
          <w:iCs/>
        </w:rPr>
        <w:t>, in particular paragraph 95</w:t>
      </w:r>
      <w:r w:rsidR="003824F4">
        <w:rPr>
          <w:i/>
        </w:rPr>
        <w:t>.</w:t>
      </w:r>
      <w:r w:rsidR="003824F4">
        <w:t xml:space="preserve"> Although the court should not </w:t>
      </w:r>
      <w:r w:rsidR="00877061">
        <w:t>automatically</w:t>
      </w:r>
      <w:r w:rsidR="003824F4">
        <w:t xml:space="preserve"> accept what the claimant says at face value</w:t>
      </w:r>
      <w:r w:rsidR="002512E0">
        <w:t xml:space="preserve">, </w:t>
      </w:r>
      <w:r w:rsidR="00593E64">
        <w:t xml:space="preserve">it </w:t>
      </w:r>
      <w:r w:rsidR="00035496">
        <w:t>will ordinarily</w:t>
      </w:r>
      <w:r w:rsidR="00593E64">
        <w:t xml:space="preserve"> do</w:t>
      </w:r>
      <w:r w:rsidR="00B747DA">
        <w:t xml:space="preserve"> so</w:t>
      </w:r>
      <w:r w:rsidR="00593E64">
        <w:t xml:space="preserve"> unless </w:t>
      </w:r>
      <w:r w:rsidR="00A82752">
        <w:t xml:space="preserve">its factual </w:t>
      </w:r>
      <w:r w:rsidR="007419BB">
        <w:t>assertions are demonstrably unsupportable</w:t>
      </w:r>
      <w:r w:rsidR="007630EE">
        <w:t xml:space="preserve">: </w:t>
      </w:r>
      <w:r w:rsidR="003824F4">
        <w:rPr>
          <w:i/>
        </w:rPr>
        <w:t>ED &amp; F Man Liquid Products v Pate</w:t>
      </w:r>
      <w:r w:rsidR="00C02889">
        <w:rPr>
          <w:i/>
        </w:rPr>
        <w:t>l</w:t>
      </w:r>
      <w:r w:rsidR="00B747DA">
        <w:rPr>
          <w:i/>
        </w:rPr>
        <w:t>;</w:t>
      </w:r>
      <w:r w:rsidR="005430E2">
        <w:t xml:space="preserve"> </w:t>
      </w:r>
      <w:proofErr w:type="spellStart"/>
      <w:r w:rsidR="005430E2" w:rsidRPr="00EE697A">
        <w:rPr>
          <w:i/>
          <w:iCs/>
        </w:rPr>
        <w:t>Okpabi</w:t>
      </w:r>
      <w:proofErr w:type="spellEnd"/>
      <w:r w:rsidR="005430E2" w:rsidRPr="00EE697A">
        <w:rPr>
          <w:i/>
          <w:iCs/>
        </w:rPr>
        <w:t xml:space="preserve"> and others v Royal Dutch Shell Plc and another</w:t>
      </w:r>
      <w:r w:rsidR="005430E2">
        <w:t xml:space="preserve"> [2021] </w:t>
      </w:r>
      <w:proofErr w:type="spellStart"/>
      <w:r w:rsidR="005430E2">
        <w:t>UKSC</w:t>
      </w:r>
      <w:proofErr w:type="spellEnd"/>
      <w:r w:rsidR="005430E2">
        <w:t xml:space="preserve"> 3, at paragraph </w:t>
      </w:r>
      <w:r w:rsidR="00632F1D">
        <w:t xml:space="preserve">110. </w:t>
      </w:r>
      <w:r w:rsidR="00EF364B">
        <w:t>The court</w:t>
      </w:r>
      <w:r w:rsidR="00C02889">
        <w:t xml:space="preserve"> should also allow for the possibility that further facts may emerge on discovery or at trial</w:t>
      </w:r>
      <w:r w:rsidR="00BB1D61">
        <w:t xml:space="preserve">: </w:t>
      </w:r>
      <w:r w:rsidR="005A132F">
        <w:rPr>
          <w:i/>
        </w:rPr>
        <w:t>R</w:t>
      </w:r>
      <w:r w:rsidR="005A132F" w:rsidRPr="005A132F">
        <w:rPr>
          <w:i/>
        </w:rPr>
        <w:t>oyal Brompton Hospital NHS Trust v Hammond (No 5)</w:t>
      </w:r>
      <w:r w:rsidR="005A132F">
        <w:t xml:space="preserve"> [2001] </w:t>
      </w:r>
      <w:proofErr w:type="spellStart"/>
      <w:r w:rsidR="005A132F">
        <w:t>EWCA</w:t>
      </w:r>
      <w:proofErr w:type="spellEnd"/>
      <w:r w:rsidR="005A132F">
        <w:t xml:space="preserve"> </w:t>
      </w:r>
      <w:proofErr w:type="spellStart"/>
      <w:r w:rsidR="005A132F">
        <w:t>Civ</w:t>
      </w:r>
      <w:proofErr w:type="spellEnd"/>
      <w:r w:rsidR="005A132F">
        <w:t xml:space="preserve"> 550; </w:t>
      </w:r>
      <w:proofErr w:type="spellStart"/>
      <w:r w:rsidR="00352155" w:rsidRPr="00C60C96">
        <w:rPr>
          <w:i/>
        </w:rPr>
        <w:lastRenderedPageBreak/>
        <w:t>Sutra</w:t>
      </w:r>
      <w:r w:rsidR="00A63C62" w:rsidRPr="00C60C96">
        <w:rPr>
          <w:i/>
        </w:rPr>
        <w:t>dhar</w:t>
      </w:r>
      <w:proofErr w:type="spellEnd"/>
      <w:r w:rsidR="00A63C62" w:rsidRPr="00C60C96">
        <w:rPr>
          <w:i/>
        </w:rPr>
        <w:t xml:space="preserve"> v Natural Environmental Research Council</w:t>
      </w:r>
      <w:r w:rsidR="00A63C62">
        <w:t xml:space="preserve"> [2006] 4 All ER 490 at [6]</w:t>
      </w:r>
      <w:r w:rsidR="00224EB8">
        <w:t xml:space="preserve">; </w:t>
      </w:r>
      <w:r w:rsidR="007630EE">
        <w:t>a</w:t>
      </w:r>
      <w:r w:rsidR="00224EB8">
        <w:t xml:space="preserve">nd </w:t>
      </w:r>
      <w:proofErr w:type="spellStart"/>
      <w:r w:rsidR="00224EB8" w:rsidRPr="007630EE">
        <w:rPr>
          <w:i/>
          <w:iCs/>
        </w:rPr>
        <w:t>Okpabi</w:t>
      </w:r>
      <w:proofErr w:type="spellEnd"/>
      <w:r w:rsidR="00224EB8">
        <w:t xml:space="preserve"> at paragraphs 127</w:t>
      </w:r>
      <w:r w:rsidR="007630EE">
        <w:t>-128</w:t>
      </w:r>
      <w:r w:rsidR="00A63C62">
        <w:t>.</w:t>
      </w:r>
    </w:p>
    <w:p w14:paraId="7895FCEB" w14:textId="5E1D0995" w:rsidR="002E5988" w:rsidRDefault="001865F6" w:rsidP="00AB117A">
      <w:pPr>
        <w:pStyle w:val="ParaLevel1"/>
      </w:pPr>
      <w:r>
        <w:t xml:space="preserve">The other principle </w:t>
      </w:r>
      <w:r w:rsidR="00663F83">
        <w:t>relevant to</w:t>
      </w:r>
      <w:r>
        <w:t xml:space="preserve"> the present appeal is that it is not </w:t>
      </w:r>
      <w:r w:rsidR="00F1186F">
        <w:t xml:space="preserve">generally </w:t>
      </w:r>
      <w:r>
        <w:t xml:space="preserve">appropriate to strike out a claim </w:t>
      </w:r>
      <w:r w:rsidR="005D21AA">
        <w:t xml:space="preserve">on assumed facts </w:t>
      </w:r>
      <w:r>
        <w:t>in an area of developing jurisprudence</w:t>
      </w:r>
      <w:r w:rsidR="005D21AA">
        <w:t>. D</w:t>
      </w:r>
      <w:r>
        <w:t xml:space="preserve">ecisions as to </w:t>
      </w:r>
      <w:r w:rsidR="002C109F">
        <w:t xml:space="preserve">novel points of law should be based on actual findings of fact: see </w:t>
      </w:r>
      <w:r w:rsidR="002C109F">
        <w:rPr>
          <w:i/>
        </w:rPr>
        <w:t xml:space="preserve">Farah v British Airways </w:t>
      </w:r>
      <w:r w:rsidR="003D0F23" w:rsidRPr="003D0F23">
        <w:t>(</w:t>
      </w:r>
      <w:r w:rsidR="00F90E4A">
        <w:t>T</w:t>
      </w:r>
      <w:r w:rsidR="003D0F23" w:rsidRPr="003D0F23">
        <w:t xml:space="preserve">he </w:t>
      </w:r>
      <w:r w:rsidR="00314591">
        <w:t>T</w:t>
      </w:r>
      <w:r w:rsidR="00053E9F">
        <w:t>ime</w:t>
      </w:r>
      <w:r w:rsidR="003D0F23" w:rsidRPr="003D0F23">
        <w:t>s 26 January 2000</w:t>
      </w:r>
      <w:r w:rsidR="00F63041">
        <w:t xml:space="preserve">, </w:t>
      </w:r>
      <w:r w:rsidR="003D0F23" w:rsidRPr="003D0F23">
        <w:t>CA)</w:t>
      </w:r>
      <w:r w:rsidR="00F63041">
        <w:t xml:space="preserve">. </w:t>
      </w:r>
      <w:r w:rsidR="00F90E4A">
        <w:t>In that case, t</w:t>
      </w:r>
      <w:r w:rsidR="00F63041">
        <w:t xml:space="preserve">he Court of Appeal referred back to the decision of the House of Lords in </w:t>
      </w:r>
      <w:r w:rsidR="00F63041">
        <w:rPr>
          <w:i/>
        </w:rPr>
        <w:t>B</w:t>
      </w:r>
      <w:r w:rsidR="00727006">
        <w:rPr>
          <w:i/>
        </w:rPr>
        <w:t>arret</w:t>
      </w:r>
      <w:r w:rsidR="008F6E12">
        <w:rPr>
          <w:i/>
        </w:rPr>
        <w:t>t</w:t>
      </w:r>
      <w:r w:rsidR="00727006">
        <w:rPr>
          <w:i/>
        </w:rPr>
        <w:t xml:space="preserve"> v Enfield DC </w:t>
      </w:r>
      <w:r w:rsidR="00620CA9">
        <w:t>[</w:t>
      </w:r>
      <w:r w:rsidR="001704BB">
        <w:t>2001] 2 AC 550</w:t>
      </w:r>
      <w:r w:rsidR="004525E7">
        <w:t xml:space="preserve"> where Lord Browne-Wilkinson said at 557e-g:</w:t>
      </w:r>
    </w:p>
    <w:p w14:paraId="60A91BC3" w14:textId="02F9749D" w:rsidR="00943820" w:rsidRDefault="00943820" w:rsidP="00AB117A">
      <w:pPr>
        <w:pStyle w:val="ParaLevel1"/>
        <w:numPr>
          <w:ilvl w:val="0"/>
          <w:numId w:val="0"/>
        </w:numPr>
        <w:ind w:left="1418" w:right="851"/>
      </w:pPr>
      <w:r>
        <w:t xml:space="preserve">“In my speech in the </w:t>
      </w:r>
      <w:r>
        <w:rPr>
          <w:i/>
        </w:rPr>
        <w:t>Bedfordshire</w:t>
      </w:r>
      <w:r>
        <w:t xml:space="preserve"> case [1995] 2 AC 633</w:t>
      </w:r>
      <w:r w:rsidR="00CE17B7">
        <w:t xml:space="preserve">, 740 – 741 with which the other members of House agreed, </w:t>
      </w:r>
      <w:r w:rsidR="0037190D">
        <w:t>I pointed out that unless it was possible to give a certain answer to the question whether the plaintiff’s claim would succeed, the case was in</w:t>
      </w:r>
      <w:r w:rsidR="00715DB6">
        <w:t xml:space="preserve">appropriate for striking out. I further said that in an area of the law which was uncertain </w:t>
      </w:r>
      <w:r w:rsidR="00CD38E4">
        <w:t>and</w:t>
      </w:r>
      <w:r w:rsidR="00246EF7">
        <w:t xml:space="preserve"> developing (such as the circumstances in which a person can be held liable in negligence for the exercise of a statutory duty or power</w:t>
      </w:r>
      <w:r w:rsidR="009F57E4">
        <w:t>) it is not normally appropriate to strike out. In my judgment it is of great importance that such developments should be on the basis of actual facts found at trial not on hyp</w:t>
      </w:r>
      <w:r w:rsidR="00EE2CB5">
        <w:t>o</w:t>
      </w:r>
      <w:r w:rsidR="009F57E4">
        <w:t>thetical facts assumed (possibly wrongly) to be true for the purposes of the strike out</w:t>
      </w:r>
      <w:r w:rsidR="00EE2CB5">
        <w:t>”.</w:t>
      </w:r>
    </w:p>
    <w:p w14:paraId="55E33BD1" w14:textId="702F2AA3" w:rsidR="00813807" w:rsidRPr="00AE27AE" w:rsidRDefault="00F90E4A" w:rsidP="00AB117A">
      <w:pPr>
        <w:pStyle w:val="ParaLevel1"/>
        <w:numPr>
          <w:ilvl w:val="0"/>
          <w:numId w:val="0"/>
        </w:numPr>
        <w:ind w:left="720"/>
      </w:pPr>
      <w:r>
        <w:t>I note that t</w:t>
      </w:r>
      <w:r w:rsidR="00EE2CB5">
        <w:t xml:space="preserve">he judge cited </w:t>
      </w:r>
      <w:r w:rsidR="00813807">
        <w:t>th</w:t>
      </w:r>
      <w:r>
        <w:t>is</w:t>
      </w:r>
      <w:r w:rsidR="00813807">
        <w:t xml:space="preserve"> passage and relied on it at [64].</w:t>
      </w:r>
    </w:p>
    <w:p w14:paraId="04A9D9C1" w14:textId="3144E2DD" w:rsidR="000C6699" w:rsidRDefault="00123AB8" w:rsidP="00AB117A">
      <w:pPr>
        <w:pStyle w:val="ParaLevel1"/>
      </w:pPr>
      <w:r>
        <w:t xml:space="preserve">The same point arose more recently in </w:t>
      </w:r>
      <w:r>
        <w:rPr>
          <w:i/>
        </w:rPr>
        <w:t xml:space="preserve">Vedanta Resources PLC &amp; Another v </w:t>
      </w:r>
      <w:proofErr w:type="spellStart"/>
      <w:r>
        <w:rPr>
          <w:i/>
        </w:rPr>
        <w:t>Lungowe</w:t>
      </w:r>
      <w:proofErr w:type="spellEnd"/>
      <w:r>
        <w:rPr>
          <w:i/>
        </w:rPr>
        <w:t xml:space="preserve"> &amp; Others </w:t>
      </w:r>
      <w:r>
        <w:t xml:space="preserve">[2019] </w:t>
      </w:r>
      <w:proofErr w:type="spellStart"/>
      <w:r>
        <w:t>UKSC</w:t>
      </w:r>
      <w:proofErr w:type="spellEnd"/>
      <w:r>
        <w:t xml:space="preserve"> 20.</w:t>
      </w:r>
      <w:r w:rsidR="00B544F6">
        <w:t xml:space="preserve"> That was a case where the underlying duty of care was alleged against a parent company, rather than the company involved in the day–to–day </w:t>
      </w:r>
      <w:r w:rsidR="008527C4">
        <w:t xml:space="preserve">running of </w:t>
      </w:r>
      <w:r w:rsidR="00C556FD">
        <w:t>the</w:t>
      </w:r>
      <w:r w:rsidR="008527C4">
        <w:t xml:space="preserve"> </w:t>
      </w:r>
      <w:r w:rsidR="00C556FD">
        <w:t>m</w:t>
      </w:r>
      <w:r w:rsidR="008527C4">
        <w:t>ine</w:t>
      </w:r>
      <w:r w:rsidR="00C556FD">
        <w:t xml:space="preserve"> said to have caused the pollution</w:t>
      </w:r>
      <w:r w:rsidR="008527C4">
        <w:t>. Lord Briggs said:</w:t>
      </w:r>
    </w:p>
    <w:p w14:paraId="78B8DD07" w14:textId="362A6D68" w:rsidR="008527C4" w:rsidRDefault="00062AFE" w:rsidP="00AB117A">
      <w:pPr>
        <w:pStyle w:val="ParaLevel1"/>
        <w:numPr>
          <w:ilvl w:val="0"/>
          <w:numId w:val="0"/>
        </w:numPr>
        <w:ind w:left="1418" w:right="851"/>
      </w:pPr>
      <w:r>
        <w:t xml:space="preserve">“48. </w:t>
      </w:r>
      <w:bookmarkStart w:id="1" w:name="para48"/>
      <w:r w:rsidR="0049634E">
        <w:t>It might be thought that an assertion that the claim against Vedanta raised a novel and controversial issue in the common law of negligence made it inherently unsuitable for summary determination. It is well settled that difficult issues of law of that kind are best resolved once all the facts have been ascertained at a trial, rather than upon the necessarily abbreviated and hypothetical basis of pleadings or assumed facts.</w:t>
      </w:r>
      <w:bookmarkEnd w:id="1"/>
      <w:r w:rsidR="0049634E">
        <w:t>”</w:t>
      </w:r>
    </w:p>
    <w:p w14:paraId="191AB692" w14:textId="2F09C423" w:rsidR="000C6699" w:rsidRPr="00AE27AE" w:rsidRDefault="00AE27AE" w:rsidP="00AB117A">
      <w:pPr>
        <w:pStyle w:val="ParaLevel1"/>
        <w:numPr>
          <w:ilvl w:val="0"/>
          <w:numId w:val="0"/>
        </w:numPr>
        <w:rPr>
          <w:b/>
          <w:bCs/>
          <w:u w:val="single"/>
        </w:rPr>
      </w:pPr>
      <w:r w:rsidRPr="00AE27AE">
        <w:rPr>
          <w:b/>
          <w:bCs/>
          <w:u w:val="single"/>
        </w:rPr>
        <w:t>5 THE RELEVANT FACTUAL ASSUMPTIONS</w:t>
      </w:r>
    </w:p>
    <w:p w14:paraId="71CD457D" w14:textId="7B08EDDD" w:rsidR="0075139E" w:rsidRDefault="000C6699" w:rsidP="00AB117A">
      <w:pPr>
        <w:pStyle w:val="ParaLevel1"/>
      </w:pPr>
      <w:r>
        <w:t>B</w:t>
      </w:r>
      <w:r w:rsidR="00AF35E7">
        <w:t>efore turning to consi</w:t>
      </w:r>
      <w:r w:rsidR="0075139E">
        <w:t>d</w:t>
      </w:r>
      <w:r w:rsidR="00AF35E7">
        <w:t xml:space="preserve">er whether the </w:t>
      </w:r>
      <w:r w:rsidR="00950003">
        <w:t>Respondent</w:t>
      </w:r>
      <w:r w:rsidR="00AF35E7">
        <w:t>’s assertion of a duty of c</w:t>
      </w:r>
      <w:r w:rsidR="0075139E">
        <w:t>a</w:t>
      </w:r>
      <w:r w:rsidR="00AF35E7">
        <w:t xml:space="preserve">re in the present case is </w:t>
      </w:r>
      <w:r w:rsidR="009765AA">
        <w:t xml:space="preserve">more than </w:t>
      </w:r>
      <w:r w:rsidR="00AF35E7">
        <w:t xml:space="preserve">fanciful, it is useful to set out the factual assumptions which </w:t>
      </w:r>
      <w:r w:rsidR="009765AA">
        <w:t>th</w:t>
      </w:r>
      <w:r w:rsidR="005D79D1">
        <w:t>e judge made</w:t>
      </w:r>
      <w:r w:rsidR="00F12152">
        <w:t xml:space="preserve"> when considering that issue</w:t>
      </w:r>
      <w:r w:rsidR="005D79D1">
        <w:t>, and in respect of which there is properly no appeal</w:t>
      </w:r>
      <w:r w:rsidR="006668F9">
        <w:t>. Although</w:t>
      </w:r>
      <w:r w:rsidR="00D62CD7">
        <w:t xml:space="preserve"> </w:t>
      </w:r>
      <w:r w:rsidR="006668F9">
        <w:t>they can be found in</w:t>
      </w:r>
      <w:r w:rsidR="00D62CD7">
        <w:t xml:space="preserve"> different p</w:t>
      </w:r>
      <w:r w:rsidR="00CF6736">
        <w:t>arts of</w:t>
      </w:r>
      <w:r w:rsidR="006668F9">
        <w:t xml:space="preserve"> </w:t>
      </w:r>
      <w:r w:rsidR="00BC78CD">
        <w:t>the</w:t>
      </w:r>
      <w:r w:rsidR="00524783">
        <w:t xml:space="preserve"> judgment, it is instructive to gather them together in one place. They are the background against which th</w:t>
      </w:r>
      <w:r w:rsidR="00A46551">
        <w:t>at</w:t>
      </w:r>
      <w:r w:rsidR="00524783">
        <w:t xml:space="preserve"> crucial question has to be asked and answered</w:t>
      </w:r>
      <w:r w:rsidR="00A46551">
        <w:t>.</w:t>
      </w:r>
    </w:p>
    <w:p w14:paraId="4D2FD004" w14:textId="48850CE9" w:rsidR="007902BE" w:rsidRDefault="007902BE" w:rsidP="00AB117A">
      <w:pPr>
        <w:pStyle w:val="ParaLevel1"/>
      </w:pPr>
      <w:r>
        <w:t>The relevant passages in the judgment are as follows:</w:t>
      </w:r>
    </w:p>
    <w:p w14:paraId="5111DBD3" w14:textId="32AD3FB9" w:rsidR="000242D2" w:rsidRPr="00F100B6" w:rsidRDefault="002312CA" w:rsidP="00AB117A">
      <w:pPr>
        <w:spacing w:before="100" w:beforeAutospacing="1" w:after="100" w:afterAutospacing="1"/>
        <w:ind w:left="1418" w:right="851"/>
        <w:jc w:val="both"/>
        <w:rPr>
          <w:lang w:eastAsia="en-GB"/>
        </w:rPr>
      </w:pPr>
      <w:bookmarkStart w:id="2" w:name="para13"/>
      <w:r>
        <w:rPr>
          <w:lang w:eastAsia="en-GB"/>
        </w:rPr>
        <w:t xml:space="preserve">“13. </w:t>
      </w:r>
      <w:r w:rsidR="000242D2" w:rsidRPr="00F100B6">
        <w:rPr>
          <w:lang w:eastAsia="en-GB"/>
        </w:rPr>
        <w:t xml:space="preserve">For the purposes of this application only, the defendant accepts that the "beaching" method of demolition carried out in India, Pakistan and Bangladesh since 1960 or thereabouts is an inherently dangerous </w:t>
      </w:r>
      <w:r w:rsidR="000242D2" w:rsidRPr="00F100B6">
        <w:rPr>
          <w:lang w:eastAsia="en-GB"/>
        </w:rPr>
        <w:lastRenderedPageBreak/>
        <w:t xml:space="preserve">working practice. The evidence of Ms </w:t>
      </w:r>
      <w:proofErr w:type="spellStart"/>
      <w:r w:rsidR="000242D2" w:rsidRPr="00F100B6">
        <w:rPr>
          <w:lang w:eastAsia="en-GB"/>
        </w:rPr>
        <w:t>Ingvild</w:t>
      </w:r>
      <w:proofErr w:type="spellEnd"/>
      <w:r w:rsidR="000242D2" w:rsidRPr="00F100B6">
        <w:rPr>
          <w:lang w:eastAsia="en-GB"/>
        </w:rPr>
        <w:t xml:space="preserve"> </w:t>
      </w:r>
      <w:proofErr w:type="spellStart"/>
      <w:r w:rsidR="000242D2" w:rsidRPr="00F100B6">
        <w:rPr>
          <w:lang w:eastAsia="en-GB"/>
        </w:rPr>
        <w:t>Jenssen</w:t>
      </w:r>
      <w:proofErr w:type="spellEnd"/>
      <w:r w:rsidR="000242D2" w:rsidRPr="00F100B6">
        <w:rPr>
          <w:lang w:eastAsia="en-GB"/>
        </w:rPr>
        <w:t xml:space="preserve"> and the claimant's expert, Mr Nicholas Willis, demonstrates that this method has been the subject of international concern for years, and they say that the yards in </w:t>
      </w:r>
      <w:proofErr w:type="spellStart"/>
      <w:r w:rsidR="000242D2" w:rsidRPr="00F100B6">
        <w:rPr>
          <w:lang w:eastAsia="en-GB"/>
        </w:rPr>
        <w:t>Chattogram</w:t>
      </w:r>
      <w:proofErr w:type="spellEnd"/>
      <w:r w:rsidR="000242D2" w:rsidRPr="00F100B6">
        <w:rPr>
          <w:lang w:eastAsia="en-GB"/>
        </w:rPr>
        <w:t xml:space="preserve"> are particularly egregious. Para 17 of Ms </w:t>
      </w:r>
      <w:proofErr w:type="spellStart"/>
      <w:r w:rsidR="000242D2" w:rsidRPr="00F100B6">
        <w:rPr>
          <w:lang w:eastAsia="en-GB"/>
        </w:rPr>
        <w:t>Jenssen's</w:t>
      </w:r>
      <w:proofErr w:type="spellEnd"/>
      <w:r w:rsidR="000242D2" w:rsidRPr="00F100B6">
        <w:rPr>
          <w:lang w:eastAsia="en-GB"/>
        </w:rPr>
        <w:t xml:space="preserve"> witness statement, although not specifically directed to working practices at this deceased's workplace, encapsulates these concerns: </w:t>
      </w:r>
      <w:bookmarkEnd w:id="2"/>
    </w:p>
    <w:p w14:paraId="352B0159" w14:textId="77777777" w:rsidR="000242D2" w:rsidRPr="00F100B6" w:rsidRDefault="000242D2" w:rsidP="00AB117A">
      <w:pPr>
        <w:spacing w:after="100"/>
        <w:ind w:left="1985" w:right="1134"/>
        <w:jc w:val="both"/>
        <w:rPr>
          <w:lang w:eastAsia="en-GB"/>
        </w:rPr>
      </w:pPr>
      <w:r w:rsidRPr="00F100B6">
        <w:rPr>
          <w:lang w:eastAsia="en-GB"/>
        </w:rPr>
        <w:t>"According to the International Labour Organisation (ILO), shipbreaking is one of the most dangerous jobs in the world. When conducted on tidal beaches, without proper infrastructure to allow for rapid emergency response and safe use of heavy lifting cranes, the danger workers are exposed to, of course, increases. Carried out in large part by the informal sector, shipbreaking in South Asia is rarely subject to occupational health and safety controls or inspections. Unskilled migrant workers are deployed by the thousands to break down the vessels manually. Without protective gear, they cut wires, pipes and blast through ship hulls with blowtorches. The muddy sand and shifting grounds of tidal flats cannot support heavy lifting equipment or emergency access, and accidents kill or injure numerous workers each year."</w:t>
      </w:r>
    </w:p>
    <w:p w14:paraId="4DDF890D" w14:textId="247FE76C" w:rsidR="000242D2" w:rsidRPr="00F100B6" w:rsidRDefault="002312CA" w:rsidP="00AB117A">
      <w:pPr>
        <w:spacing w:before="100" w:beforeAutospacing="1" w:after="100" w:afterAutospacing="1"/>
        <w:ind w:left="1418" w:right="851"/>
        <w:jc w:val="both"/>
        <w:rPr>
          <w:lang w:eastAsia="en-GB"/>
        </w:rPr>
      </w:pPr>
      <w:bookmarkStart w:id="3" w:name="para14"/>
      <w:r>
        <w:rPr>
          <w:lang w:eastAsia="en-GB"/>
        </w:rPr>
        <w:t xml:space="preserve">14. </w:t>
      </w:r>
      <w:r w:rsidR="000242D2" w:rsidRPr="00F100B6">
        <w:rPr>
          <w:lang w:eastAsia="en-GB"/>
        </w:rPr>
        <w:t xml:space="preserve">The claimant's key evidence, including the evidence of her solicitor, Mr Martyn Day, invites the court to draw the inference that the defendant knew that the vessel would be broken up in Bangladesh rather than anywhere else from two factors: namely, the level of the price paid by </w:t>
      </w:r>
      <w:proofErr w:type="spellStart"/>
      <w:r w:rsidR="000242D2" w:rsidRPr="00F100B6">
        <w:rPr>
          <w:lang w:eastAsia="en-GB"/>
        </w:rPr>
        <w:t>Hsejar</w:t>
      </w:r>
      <w:proofErr w:type="spellEnd"/>
      <w:r w:rsidR="000242D2" w:rsidRPr="00F100B6">
        <w:rPr>
          <w:lang w:eastAsia="en-GB"/>
        </w:rPr>
        <w:t xml:space="preserve"> in August 2017 (a lower price would have signified onward sale to a reputable yard) and the quantity of fuel oil left on the vessel when it was delivered. For the purposes of this application and in the absence of evidence to the contrary, I was minded to draw this inference. In the event, Mr Bright accepted in terms that I should determine this application on the premise that his client was aware of the ultimate destination of the vessel. His realistic approach – without prejudice to his submission that the issue would be challenged at trial – has served to abbreviate the process</w:t>
      </w:r>
      <w:bookmarkEnd w:id="3"/>
      <w:r w:rsidR="000242D2">
        <w:rPr>
          <w:lang w:eastAsia="en-GB"/>
        </w:rPr>
        <w:t>…</w:t>
      </w:r>
    </w:p>
    <w:p w14:paraId="139989C6" w14:textId="23DBD23D" w:rsidR="000242D2" w:rsidRPr="00F100B6" w:rsidRDefault="002312CA" w:rsidP="00AB117A">
      <w:pPr>
        <w:spacing w:before="100" w:beforeAutospacing="1" w:after="100" w:afterAutospacing="1"/>
        <w:ind w:left="1418" w:right="851"/>
        <w:jc w:val="both"/>
        <w:rPr>
          <w:lang w:eastAsia="en-GB"/>
        </w:rPr>
      </w:pPr>
      <w:bookmarkStart w:id="4" w:name="para19"/>
      <w:r>
        <w:rPr>
          <w:lang w:eastAsia="en-GB"/>
        </w:rPr>
        <w:t xml:space="preserve">19. </w:t>
      </w:r>
      <w:r w:rsidR="000242D2" w:rsidRPr="00F100B6">
        <w:rPr>
          <w:lang w:eastAsia="en-GB"/>
        </w:rPr>
        <w:t xml:space="preserve">For the purposes of this application only, Mr Bright's principal argument proceeded on the basis that I could take "control" at its highest and assume that the defendant had autonomy over the sale. By making this concession he was accepting that it was at least arguable that the commercial realities went further than the four corners of the Operating Agreement and the Agency Agreement. As I put to Mr Bright in oral argument, his concession meant that the position of the defendant is legally indistinguishable for these purposes from that of </w:t>
      </w:r>
      <w:proofErr w:type="spellStart"/>
      <w:r w:rsidR="000242D2" w:rsidRPr="00F100B6">
        <w:rPr>
          <w:lang w:eastAsia="en-GB"/>
        </w:rPr>
        <w:t>MTM</w:t>
      </w:r>
      <w:proofErr w:type="spellEnd"/>
      <w:r w:rsidR="000242D2" w:rsidRPr="00F100B6">
        <w:rPr>
          <w:lang w:eastAsia="en-GB"/>
        </w:rPr>
        <w:t xml:space="preserve"> (on further reflection, I think that it is probably legally indistinguishable from that of the owner). Mr Bright submitted in the alternative that the defendant's obligations and functions went no further than the black letter of the contracts, and that if necessary (in </w:t>
      </w:r>
      <w:r w:rsidR="000242D2" w:rsidRPr="00F100B6">
        <w:rPr>
          <w:lang w:eastAsia="en-GB"/>
        </w:rPr>
        <w:lastRenderedPageBreak/>
        <w:t>the event that his primary case should fail) its alleged duty of care should be analysed on that premise. Given Mr Willis' expert evidence, the paucity of evidence emanating from the defendant in support of its application and that disclosure has not taken place, I would reject this alternative submission. There is a real prospect that an examination of the complete evidential picture at any trial would support the high watermark of the claimant's case on control</w:t>
      </w:r>
      <w:bookmarkEnd w:id="4"/>
      <w:r w:rsidR="000242D2">
        <w:rPr>
          <w:lang w:eastAsia="en-GB"/>
        </w:rPr>
        <w:t>…</w:t>
      </w:r>
    </w:p>
    <w:p w14:paraId="04472070" w14:textId="7C614FAF" w:rsidR="000242D2" w:rsidRPr="00F100B6" w:rsidRDefault="002312CA" w:rsidP="00AB117A">
      <w:pPr>
        <w:spacing w:before="100" w:beforeAutospacing="1" w:after="100" w:afterAutospacing="1"/>
        <w:ind w:left="1418" w:right="851"/>
        <w:jc w:val="both"/>
        <w:rPr>
          <w:lang w:eastAsia="en-GB"/>
        </w:rPr>
      </w:pPr>
      <w:bookmarkStart w:id="5" w:name="para30"/>
      <w:r>
        <w:rPr>
          <w:lang w:eastAsia="en-GB"/>
        </w:rPr>
        <w:t xml:space="preserve">30. </w:t>
      </w:r>
      <w:r w:rsidR="000242D2" w:rsidRPr="00F100B6">
        <w:rPr>
          <w:lang w:eastAsia="en-GB"/>
        </w:rPr>
        <w:t xml:space="preserve">Mr </w:t>
      </w:r>
      <w:proofErr w:type="spellStart"/>
      <w:r w:rsidR="000242D2" w:rsidRPr="00F100B6">
        <w:rPr>
          <w:lang w:eastAsia="en-GB"/>
        </w:rPr>
        <w:t>Hermer</w:t>
      </w:r>
      <w:proofErr w:type="spellEnd"/>
      <w:r w:rsidR="000242D2" w:rsidRPr="00F100B6">
        <w:rPr>
          <w:lang w:eastAsia="en-GB"/>
        </w:rPr>
        <w:t xml:space="preserve"> highlighted six core evidential features of his client's case. First, the vessel had reached the end of its operating life and a decision was taken (perforce) to dispose of it. Secondly, end-of-life vessels are difficult to dispose of safely. Aside from the evident difficulties inherent in dismantling a large metal structure, a process replete with potential danger, an oil tanker such as this contains numerous hazardous substances such as asbestos, mercury and radio-active components. Although these were listed for Basel Convention purposes and for the attention of the buyer, and the deceased was not injured as a result of exposure to any hazardous substance, the only reasonable inference is that waste such as asbestos is not disposed of safely in </w:t>
      </w:r>
      <w:proofErr w:type="spellStart"/>
      <w:r w:rsidR="000242D2" w:rsidRPr="00F100B6">
        <w:rPr>
          <w:lang w:eastAsia="en-GB"/>
        </w:rPr>
        <w:t>Chattogram</w:t>
      </w:r>
      <w:proofErr w:type="spellEnd"/>
      <w:r w:rsidR="000242D2" w:rsidRPr="00F100B6">
        <w:rPr>
          <w:lang w:eastAsia="en-GB"/>
        </w:rPr>
        <w:t xml:space="preserve">. Thirdly, the defendant had a choice as to whether to entrust the vessel to a buyer who would convey it to a yard which was either safe or unsafe. Fourthly, the defendant had control and full autonomy over the sale. Fifthly, the defendant knew in all the circumstances that the vessel would end up on </w:t>
      </w:r>
      <w:proofErr w:type="spellStart"/>
      <w:r w:rsidR="000242D2" w:rsidRPr="00F100B6">
        <w:rPr>
          <w:lang w:eastAsia="en-GB"/>
        </w:rPr>
        <w:t>Chattogram</w:t>
      </w:r>
      <w:proofErr w:type="spellEnd"/>
      <w:r w:rsidR="000242D2" w:rsidRPr="00F100B6">
        <w:rPr>
          <w:lang w:eastAsia="en-GB"/>
        </w:rPr>
        <w:t xml:space="preserve"> beach. Sixthly, the defendant knew that the </w:t>
      </w:r>
      <w:r w:rsidR="000242D2" w:rsidRPr="00F100B6">
        <w:rPr>
          <w:i/>
          <w:iCs/>
          <w:lang w:eastAsia="en-GB"/>
        </w:rPr>
        <w:t>modus operandi</w:t>
      </w:r>
      <w:r w:rsidR="000242D2" w:rsidRPr="00F100B6">
        <w:rPr>
          <w:lang w:eastAsia="en-GB"/>
        </w:rPr>
        <w:t xml:space="preserve"> at that location entailed scant regard for human life. </w:t>
      </w:r>
      <w:bookmarkEnd w:id="5"/>
    </w:p>
    <w:p w14:paraId="2D69DB61" w14:textId="27C8E318" w:rsidR="000242D2" w:rsidRDefault="002312CA" w:rsidP="00AB117A">
      <w:pPr>
        <w:spacing w:before="100" w:beforeAutospacing="1" w:after="100" w:afterAutospacing="1"/>
        <w:ind w:left="1418" w:right="851"/>
        <w:jc w:val="both"/>
        <w:rPr>
          <w:lang w:eastAsia="en-GB"/>
        </w:rPr>
      </w:pPr>
      <w:bookmarkStart w:id="6" w:name="para31"/>
      <w:r>
        <w:rPr>
          <w:lang w:eastAsia="en-GB"/>
        </w:rPr>
        <w:t xml:space="preserve">31. </w:t>
      </w:r>
      <w:r w:rsidR="000242D2" w:rsidRPr="00F100B6">
        <w:rPr>
          <w:lang w:eastAsia="en-GB"/>
        </w:rPr>
        <w:t>Mr Bright did not place any of these matters in issue although he cannot be taken to have accepted all of the rhetoric.</w:t>
      </w:r>
      <w:bookmarkEnd w:id="6"/>
      <w:r w:rsidR="000242D2">
        <w:rPr>
          <w:lang w:eastAsia="en-GB"/>
        </w:rPr>
        <w:t>”</w:t>
      </w:r>
    </w:p>
    <w:p w14:paraId="000A4CFF" w14:textId="2893056F" w:rsidR="00D5637F" w:rsidRDefault="00952C70" w:rsidP="00AB117A">
      <w:pPr>
        <w:pStyle w:val="ParaLevel1"/>
        <w:numPr>
          <w:ilvl w:val="0"/>
          <w:numId w:val="0"/>
        </w:numPr>
        <w:ind w:left="720"/>
      </w:pPr>
      <w:r>
        <w:t>A</w:t>
      </w:r>
      <w:r w:rsidR="00DE1F8F">
        <w:t xml:space="preserve">s the judgment </w:t>
      </w:r>
      <w:r>
        <w:t>records</w:t>
      </w:r>
      <w:r w:rsidR="00DE1F8F">
        <w:t>, the</w:t>
      </w:r>
      <w:r>
        <w:t>se passages</w:t>
      </w:r>
      <w:r w:rsidR="00DE1F8F">
        <w:t xml:space="preserve"> were the subject of concessions b</w:t>
      </w:r>
      <w:r w:rsidR="00333DC7">
        <w:t xml:space="preserve">y the </w:t>
      </w:r>
      <w:r w:rsidR="00950003">
        <w:t>Appellant</w:t>
      </w:r>
      <w:r w:rsidR="001B130F">
        <w:t xml:space="preserve"> made for the purpose of the applications although they (or some of them)</w:t>
      </w:r>
      <w:r w:rsidR="009A6B2F">
        <w:t xml:space="preserve"> will be disputed at trial</w:t>
      </w:r>
      <w:r w:rsidR="00333DC7">
        <w:t>.</w:t>
      </w:r>
      <w:r w:rsidR="00DE1F8F">
        <w:t xml:space="preserve"> </w:t>
      </w:r>
      <w:r w:rsidR="00333DC7">
        <w:t>From the</w:t>
      </w:r>
      <w:r>
        <w:t>m</w:t>
      </w:r>
      <w:r w:rsidR="00333DC7">
        <w:t xml:space="preserve">, </w:t>
      </w:r>
      <w:r w:rsidR="00F46E9D">
        <w:t xml:space="preserve">I </w:t>
      </w:r>
      <w:r w:rsidR="00777169">
        <w:t>distil</w:t>
      </w:r>
      <w:r w:rsidR="00F46E9D">
        <w:t xml:space="preserve"> </w:t>
      </w:r>
      <w:r w:rsidR="00333DC7">
        <w:t xml:space="preserve">the following </w:t>
      </w:r>
      <w:r w:rsidR="00462CE1">
        <w:t>eight</w:t>
      </w:r>
      <w:r w:rsidR="00684084">
        <w:t xml:space="preserve"> </w:t>
      </w:r>
      <w:r w:rsidR="00333DC7">
        <w:t>factual assumptions</w:t>
      </w:r>
      <w:r>
        <w:t xml:space="preserve"> of particular significance</w:t>
      </w:r>
      <w:r w:rsidR="0064321C">
        <w:t>.</w:t>
      </w:r>
    </w:p>
    <w:p w14:paraId="5858BBAC" w14:textId="0E3C43E7" w:rsidR="00C1365D" w:rsidRDefault="0064321C" w:rsidP="00AB117A">
      <w:pPr>
        <w:pStyle w:val="ParaLevel1"/>
      </w:pPr>
      <w:r>
        <w:t>First, the vessel needed to be scrapped</w:t>
      </w:r>
      <w:r w:rsidR="001741BB">
        <w:t>. L</w:t>
      </w:r>
      <w:r>
        <w:t>arge oil tankers</w:t>
      </w:r>
      <w:r w:rsidR="006A3823">
        <w:t xml:space="preserve"> like this</w:t>
      </w:r>
      <w:r>
        <w:t xml:space="preserve"> </w:t>
      </w:r>
      <w:r w:rsidR="0075195E">
        <w:t xml:space="preserve">are difficult to dispose of safely: see the first two of the </w:t>
      </w:r>
      <w:r w:rsidR="002E0999">
        <w:t>six core evidential features referred to</w:t>
      </w:r>
      <w:r w:rsidR="00391ECE">
        <w:t xml:space="preserve"> </w:t>
      </w:r>
      <w:r w:rsidR="00336BD1">
        <w:t>in</w:t>
      </w:r>
      <w:r w:rsidR="002E0999">
        <w:t xml:space="preserve"> [30]</w:t>
      </w:r>
      <w:r w:rsidR="00C70A72">
        <w:t xml:space="preserve">. </w:t>
      </w:r>
    </w:p>
    <w:p w14:paraId="3F543F2E" w14:textId="73A7D494" w:rsidR="004D590A" w:rsidRDefault="007935C0" w:rsidP="00AB117A">
      <w:pPr>
        <w:pStyle w:val="ParaLevel1"/>
      </w:pPr>
      <w:r>
        <w:t xml:space="preserve">Secondly, </w:t>
      </w:r>
      <w:r w:rsidR="00C70A72">
        <w:t xml:space="preserve">the </w:t>
      </w:r>
      <w:r w:rsidR="00950003">
        <w:t>Appellant</w:t>
      </w:r>
      <w:r w:rsidR="00556FC5">
        <w:t xml:space="preserve"> </w:t>
      </w:r>
      <w:r w:rsidR="00C70A72">
        <w:t xml:space="preserve">had a choice as to whether to sell the vessel to a buyer who would convey it to a </w:t>
      </w:r>
      <w:r w:rsidR="00490C9D">
        <w:t xml:space="preserve">shipbreaking </w:t>
      </w:r>
      <w:r w:rsidR="00C70A72">
        <w:t xml:space="preserve">yard which was either safe or unsafe: </w:t>
      </w:r>
      <w:r w:rsidR="004B4CB8">
        <w:t>see</w:t>
      </w:r>
      <w:r w:rsidR="00E0759C">
        <w:t xml:space="preserve"> the third </w:t>
      </w:r>
      <w:r w:rsidR="004B4CB8">
        <w:t>evidential feature</w:t>
      </w:r>
      <w:r w:rsidR="00E0759C">
        <w:t xml:space="preserve"> in [30]. </w:t>
      </w:r>
    </w:p>
    <w:p w14:paraId="6E641264" w14:textId="2A224C10" w:rsidR="006F5728" w:rsidRDefault="004D590A" w:rsidP="00AB117A">
      <w:pPr>
        <w:pStyle w:val="ParaLevel1"/>
      </w:pPr>
      <w:r>
        <w:t xml:space="preserve">Thirdly, </w:t>
      </w:r>
      <w:r w:rsidR="0098487B">
        <w:t xml:space="preserve">the </w:t>
      </w:r>
      <w:r w:rsidR="00950003">
        <w:t>Appellant</w:t>
      </w:r>
      <w:r w:rsidR="0098487B">
        <w:t xml:space="preserve"> had complete autonomy over th</w:t>
      </w:r>
      <w:r w:rsidR="006C114C">
        <w:t>at</w:t>
      </w:r>
      <w:r w:rsidR="0098487B">
        <w:t xml:space="preserve"> sale</w:t>
      </w:r>
      <w:r w:rsidR="00C22645">
        <w:t xml:space="preserve"> (</w:t>
      </w:r>
      <w:r w:rsidR="0098487B">
        <w:t xml:space="preserve">see [19] and the fourth </w:t>
      </w:r>
      <w:r w:rsidR="00C22645">
        <w:t>evidential feature</w:t>
      </w:r>
      <w:r w:rsidR="0098487B">
        <w:t xml:space="preserve"> in [30]</w:t>
      </w:r>
      <w:r w:rsidR="00C22645">
        <w:t>)</w:t>
      </w:r>
      <w:r w:rsidR="006F5728">
        <w:t>.</w:t>
      </w:r>
      <w:r w:rsidR="00E16852">
        <w:t xml:space="preserve"> The assumption is that the </w:t>
      </w:r>
      <w:r w:rsidR="00950003">
        <w:t>Appellant</w:t>
      </w:r>
      <w:r w:rsidR="00A54020">
        <w:t xml:space="preserve"> should be treated for these purposes as if it was </w:t>
      </w:r>
      <w:r w:rsidR="00D23762">
        <w:t xml:space="preserve">in no different position to </w:t>
      </w:r>
      <w:r w:rsidR="00A54020">
        <w:t>the owner.</w:t>
      </w:r>
    </w:p>
    <w:p w14:paraId="403CA352" w14:textId="4BDA40F2" w:rsidR="0098487B" w:rsidRDefault="006F5728" w:rsidP="00AB117A">
      <w:pPr>
        <w:pStyle w:val="ParaLevel1"/>
      </w:pPr>
      <w:r>
        <w:t>Fourthly, t</w:t>
      </w:r>
      <w:r w:rsidR="009617A8">
        <w:t>h</w:t>
      </w:r>
      <w:r w:rsidR="00A67740">
        <w:t xml:space="preserve">e </w:t>
      </w:r>
      <w:r w:rsidR="00950003">
        <w:t>Appellant</w:t>
      </w:r>
      <w:r w:rsidR="00A67740">
        <w:t xml:space="preserve"> knew that</w:t>
      </w:r>
      <w:r>
        <w:t xml:space="preserve">, because </w:t>
      </w:r>
      <w:r w:rsidR="00FA5D5F">
        <w:t>it had chosen to sell</w:t>
      </w:r>
      <w:r>
        <w:t xml:space="preserve"> </w:t>
      </w:r>
      <w:r w:rsidR="00365FC7">
        <w:t xml:space="preserve">for $16 million </w:t>
      </w:r>
      <w:r>
        <w:t xml:space="preserve">to </w:t>
      </w:r>
      <w:proofErr w:type="spellStart"/>
      <w:r>
        <w:t>Hsejar</w:t>
      </w:r>
      <w:proofErr w:type="spellEnd"/>
      <w:r>
        <w:t>,</w:t>
      </w:r>
      <w:r w:rsidR="00A67740">
        <w:t xml:space="preserve"> the vessel was going to end up in Bangladesh</w:t>
      </w:r>
      <w:r w:rsidR="00FA5D5F">
        <w:t>,</w:t>
      </w:r>
      <w:r w:rsidR="00A67740">
        <w:t xml:space="preserve"> on </w:t>
      </w:r>
      <w:proofErr w:type="spellStart"/>
      <w:r w:rsidR="00A67740">
        <w:t>Chattogram</w:t>
      </w:r>
      <w:proofErr w:type="spellEnd"/>
      <w:r w:rsidR="00A67740">
        <w:t xml:space="preserve"> beach</w:t>
      </w:r>
      <w:r w:rsidR="00CD38E4">
        <w:t xml:space="preserve"> [sic]</w:t>
      </w:r>
      <w:r w:rsidR="00A67740">
        <w:t xml:space="preserve">. That can be discerned from [14] and </w:t>
      </w:r>
      <w:r w:rsidR="008B5D73">
        <w:t xml:space="preserve">the fifth </w:t>
      </w:r>
      <w:r w:rsidR="00387C69">
        <w:t>evidential feature</w:t>
      </w:r>
      <w:r w:rsidR="008B5D73">
        <w:t xml:space="preserve"> in [3</w:t>
      </w:r>
      <w:r w:rsidR="00286B55">
        <w:t>1</w:t>
      </w:r>
      <w:r w:rsidR="008B5D73">
        <w:t>].</w:t>
      </w:r>
    </w:p>
    <w:p w14:paraId="162F1D38" w14:textId="3767012E" w:rsidR="008B5D73" w:rsidRDefault="00596644" w:rsidP="00AB117A">
      <w:pPr>
        <w:pStyle w:val="ParaLevel1"/>
      </w:pPr>
      <w:r>
        <w:lastRenderedPageBreak/>
        <w:t>F</w:t>
      </w:r>
      <w:r w:rsidR="00A27C90">
        <w:t>ifthly</w:t>
      </w:r>
      <w:r>
        <w:t>, t</w:t>
      </w:r>
      <w:r w:rsidR="008B5D73">
        <w:t xml:space="preserve">he </w:t>
      </w:r>
      <w:r w:rsidR="00950003">
        <w:t>Appellant</w:t>
      </w:r>
      <w:r w:rsidR="008B5D73">
        <w:t xml:space="preserve"> knew that beaching was an inherently dangerous working practice and that </w:t>
      </w:r>
      <w:r w:rsidR="00B55F0F">
        <w:t xml:space="preserve">the </w:t>
      </w:r>
      <w:r w:rsidR="0055416E">
        <w:t xml:space="preserve">safety standards in the </w:t>
      </w:r>
      <w:r w:rsidR="00B55F0F">
        <w:t xml:space="preserve">yards in </w:t>
      </w:r>
      <w:proofErr w:type="spellStart"/>
      <w:r w:rsidR="00B55F0F">
        <w:t>Chattogram</w:t>
      </w:r>
      <w:proofErr w:type="spellEnd"/>
      <w:r w:rsidR="00B55F0F">
        <w:t xml:space="preserve"> were particularly egregious</w:t>
      </w:r>
      <w:r w:rsidR="00A0347A">
        <w:t>, and that as a result fatalities and serious injuries occurred there regularly</w:t>
      </w:r>
      <w:r w:rsidR="00B55F0F">
        <w:t>: that is</w:t>
      </w:r>
      <w:r w:rsidR="00715F6F">
        <w:t xml:space="preserve"> at</w:t>
      </w:r>
      <w:r w:rsidR="00B55F0F">
        <w:t xml:space="preserve"> [13] and the sixth </w:t>
      </w:r>
      <w:r w:rsidR="00FA5D5F">
        <w:t>evidential feature</w:t>
      </w:r>
      <w:r w:rsidR="00B55F0F">
        <w:t xml:space="preserve"> in [3</w:t>
      </w:r>
      <w:r w:rsidR="00286B55">
        <w:t>2</w:t>
      </w:r>
      <w:r w:rsidR="00B55F0F">
        <w:t>].</w:t>
      </w:r>
    </w:p>
    <w:p w14:paraId="015F9B01" w14:textId="1D07B3CA" w:rsidR="00DA70DA" w:rsidRDefault="00A27C90" w:rsidP="00AB117A">
      <w:pPr>
        <w:pStyle w:val="ParaLevel1"/>
      </w:pPr>
      <w:r>
        <w:t xml:space="preserve">Sixthly, </w:t>
      </w:r>
      <w:r w:rsidR="008D55BC">
        <w:t>the logical consequence</w:t>
      </w:r>
      <w:r>
        <w:t xml:space="preserve"> of the previous assumptions</w:t>
      </w:r>
      <w:r w:rsidR="00737E48">
        <w:t xml:space="preserve"> is that</w:t>
      </w:r>
      <w:r>
        <w:t xml:space="preserve"> </w:t>
      </w:r>
      <w:r w:rsidR="00DA70DA">
        <w:t xml:space="preserve">the </w:t>
      </w:r>
      <w:r w:rsidR="00950003">
        <w:t>Appellant</w:t>
      </w:r>
      <w:r w:rsidR="00DA70DA">
        <w:t xml:space="preserve"> exercised </w:t>
      </w:r>
      <w:r w:rsidR="007319AA">
        <w:t>its</w:t>
      </w:r>
      <w:r w:rsidR="00DA70DA">
        <w:t xml:space="preserve"> choice by choosing a buyer</w:t>
      </w:r>
      <w:r w:rsidR="007319AA">
        <w:t xml:space="preserve"> for the vessel</w:t>
      </w:r>
      <w:r w:rsidR="00DA70DA">
        <w:t xml:space="preserve"> who it knew would </w:t>
      </w:r>
      <w:r w:rsidR="00DA70DA" w:rsidRPr="004D590A">
        <w:rPr>
          <w:i/>
          <w:iCs/>
        </w:rPr>
        <w:t>not</w:t>
      </w:r>
      <w:r w:rsidR="00DA70DA">
        <w:t xml:space="preserve"> d</w:t>
      </w:r>
      <w:r w:rsidR="00E2527C">
        <w:t>emolish</w:t>
      </w:r>
      <w:r w:rsidR="00DA70DA">
        <w:t xml:space="preserve"> it safely</w:t>
      </w:r>
      <w:r w:rsidR="00E2527C">
        <w:t>,</w:t>
      </w:r>
      <w:r w:rsidR="007319AA">
        <w:t xml:space="preserve"> and would instead</w:t>
      </w:r>
      <w:r w:rsidR="007E38C9">
        <w:t xml:space="preserve"> expose workers like the deceased to a real risk of </w:t>
      </w:r>
      <w:r w:rsidR="00137A80">
        <w:t>death or personal injury</w:t>
      </w:r>
      <w:r w:rsidR="002F335E">
        <w:t xml:space="preserve"> during the demolition of the vessel</w:t>
      </w:r>
      <w:r w:rsidR="00137A80">
        <w:t>.</w:t>
      </w:r>
      <w:r w:rsidR="00790E89">
        <w:t xml:space="preserve"> At [56]</w:t>
      </w:r>
      <w:r w:rsidR="00E2527C">
        <w:t xml:space="preserve">, on a different </w:t>
      </w:r>
      <w:r w:rsidR="00635694">
        <w:t xml:space="preserve">but related </w:t>
      </w:r>
      <w:r w:rsidR="00E2527C">
        <w:t>point</w:t>
      </w:r>
      <w:r w:rsidR="007F50BE">
        <w:t xml:space="preserve"> concerned with</w:t>
      </w:r>
      <w:r w:rsidR="00790E89">
        <w:t xml:space="preserve"> </w:t>
      </w:r>
      <w:r w:rsidR="007F50BE">
        <w:t xml:space="preserve">the Basel Convention, </w:t>
      </w:r>
      <w:r w:rsidR="00790E89">
        <w:t xml:space="preserve">the judge confirmed that </w:t>
      </w:r>
      <w:r w:rsidR="00D9350B">
        <w:t xml:space="preserve">the </w:t>
      </w:r>
      <w:r w:rsidR="00950003">
        <w:t>Appellant</w:t>
      </w:r>
      <w:r w:rsidR="005D4C4B">
        <w:t xml:space="preserve"> must have known that </w:t>
      </w:r>
      <w:r w:rsidR="000007B5">
        <w:t xml:space="preserve">the hazardous substances </w:t>
      </w:r>
      <w:r w:rsidR="00A47E09">
        <w:t xml:space="preserve">in or on the vessel </w:t>
      </w:r>
      <w:r w:rsidR="00FE119C">
        <w:t>“would not be disposed of safely in Bangladesh”.</w:t>
      </w:r>
    </w:p>
    <w:p w14:paraId="7C4BAF0F" w14:textId="290CD04C" w:rsidR="00C1365D" w:rsidRDefault="004D3F7E" w:rsidP="00AB117A">
      <w:pPr>
        <w:pStyle w:val="ParaLevel1"/>
      </w:pPr>
      <w:r>
        <w:t>Seventh</w:t>
      </w:r>
      <w:r w:rsidR="00715F6F">
        <w:t xml:space="preserve">ly, as to </w:t>
      </w:r>
      <w:r w:rsidR="00137A80">
        <w:t>the degree of</w:t>
      </w:r>
      <w:r w:rsidR="002A3677">
        <w:t xml:space="preserve"> </w:t>
      </w:r>
      <w:r w:rsidR="00137A80">
        <w:t>risk</w:t>
      </w:r>
      <w:r w:rsidR="001D5A45">
        <w:t xml:space="preserve"> to which the deceased</w:t>
      </w:r>
      <w:r w:rsidR="00801EB0">
        <w:t xml:space="preserve"> was exposed</w:t>
      </w:r>
      <w:r w:rsidR="00715F6F">
        <w:t>, t</w:t>
      </w:r>
      <w:r w:rsidR="00106CF9">
        <w:t xml:space="preserve">he judge </w:t>
      </w:r>
      <w:r w:rsidR="002E1BE5">
        <w:t>said</w:t>
      </w:r>
      <w:r w:rsidR="00106CF9">
        <w:t xml:space="preserve"> at [42] that</w:t>
      </w:r>
      <w:r w:rsidR="00715F6F">
        <w:t>,</w:t>
      </w:r>
      <w:r w:rsidR="00106CF9">
        <w:t xml:space="preserve"> whilst it was </w:t>
      </w:r>
      <w:r w:rsidR="00A67A7B">
        <w:t>“</w:t>
      </w:r>
      <w:r w:rsidR="00106CF9">
        <w:t>inevitable</w:t>
      </w:r>
      <w:r w:rsidR="00A67A7B">
        <w:t>”</w:t>
      </w:r>
      <w:r w:rsidR="00106CF9">
        <w:t xml:space="preserve"> that the deceased would be exposed to the risk of personal injury, it was </w:t>
      </w:r>
      <w:r w:rsidR="00A67A7B">
        <w:t>“</w:t>
      </w:r>
      <w:r w:rsidR="00106CF9">
        <w:t>only foreseeable</w:t>
      </w:r>
      <w:r w:rsidR="00A67A7B">
        <w:t>”</w:t>
      </w:r>
      <w:r w:rsidR="00106CF9">
        <w:t xml:space="preserve"> that he would sustain a serious accident. But at [43] </w:t>
      </w:r>
      <w:r w:rsidR="00096441">
        <w:t>the judge considered that th</w:t>
      </w:r>
      <w:r w:rsidR="004E0BAC">
        <w:t>is</w:t>
      </w:r>
      <w:r w:rsidR="00096441">
        <w:t xml:space="preserve"> meant that the deceased’s accident </w:t>
      </w:r>
      <w:r w:rsidR="00B01415">
        <w:t xml:space="preserve">at the Zuma Yard </w:t>
      </w:r>
      <w:r w:rsidR="00096441">
        <w:t xml:space="preserve">was </w:t>
      </w:r>
      <w:r w:rsidR="0039743E">
        <w:t>“</w:t>
      </w:r>
      <w:r w:rsidR="00096441">
        <w:t>probable</w:t>
      </w:r>
      <w:r w:rsidR="0039743E">
        <w:t>”</w:t>
      </w:r>
      <w:r w:rsidR="00F2034F">
        <w:t xml:space="preserve"> in the sense explained by Lord </w:t>
      </w:r>
      <w:r w:rsidR="000F2951">
        <w:t>M</w:t>
      </w:r>
      <w:r w:rsidR="003D4969">
        <w:t>a</w:t>
      </w:r>
      <w:r w:rsidR="000F2951">
        <w:t>c</w:t>
      </w:r>
      <w:r w:rsidR="003D4969">
        <w:t>kay</w:t>
      </w:r>
      <w:r w:rsidR="000F2951">
        <w:t xml:space="preserve"> in </w:t>
      </w:r>
      <w:r w:rsidR="000F2951" w:rsidRPr="000F2951">
        <w:rPr>
          <w:i/>
        </w:rPr>
        <w:t>Smith v Littlewoods Organisation Limited</w:t>
      </w:r>
      <w:r w:rsidR="000F2951">
        <w:t xml:space="preserve"> [1997] 1 AC 241. </w:t>
      </w:r>
    </w:p>
    <w:p w14:paraId="1337E6CB" w14:textId="227DF000" w:rsidR="00C1365D" w:rsidRDefault="00462CE1" w:rsidP="00AB117A">
      <w:pPr>
        <w:pStyle w:val="ParaLevel1"/>
      </w:pPr>
      <w:r>
        <w:t>Final</w:t>
      </w:r>
      <w:r w:rsidR="00780C3E">
        <w:t>ly, as t</w:t>
      </w:r>
      <w:r w:rsidR="009D79D5">
        <w:t>o the extent that any assumptions need</w:t>
      </w:r>
      <w:r w:rsidR="00780C3E">
        <w:t>ed</w:t>
      </w:r>
      <w:r w:rsidR="009D79D5">
        <w:t xml:space="preserve"> to be made about the </w:t>
      </w:r>
      <w:r w:rsidR="00780C3E">
        <w:t>role</w:t>
      </w:r>
      <w:r w:rsidR="009D79D5">
        <w:t xml:space="preserve"> of </w:t>
      </w:r>
      <w:proofErr w:type="spellStart"/>
      <w:r w:rsidR="00B01415">
        <w:t>Hsejar</w:t>
      </w:r>
      <w:proofErr w:type="spellEnd"/>
      <w:r w:rsidR="009D79D5">
        <w:t xml:space="preserve">, the judge </w:t>
      </w:r>
      <w:r w:rsidR="002E1BE5">
        <w:t>said</w:t>
      </w:r>
      <w:r w:rsidR="009D79D5">
        <w:t xml:space="preserve"> at [37] </w:t>
      </w:r>
      <w:r w:rsidR="00C31181">
        <w:t xml:space="preserve">that “the intervention of </w:t>
      </w:r>
      <w:proofErr w:type="spellStart"/>
      <w:r w:rsidR="00C31181">
        <w:t>Hsejar</w:t>
      </w:r>
      <w:proofErr w:type="spellEnd"/>
      <w:r w:rsidR="00C31181">
        <w:t xml:space="preserve"> in conveying the vessel to Bangladesh </w:t>
      </w:r>
      <w:r w:rsidR="00CD35E7">
        <w:t xml:space="preserve">is of little or no significance. The buyer did not alter the vessel in any way. If, say, the vessel had sailed to a point just outside </w:t>
      </w:r>
      <w:proofErr w:type="spellStart"/>
      <w:r w:rsidR="00CD35E7">
        <w:t>Chattogram</w:t>
      </w:r>
      <w:proofErr w:type="spellEnd"/>
      <w:r w:rsidR="00CD35E7">
        <w:t xml:space="preserve"> under the </w:t>
      </w:r>
      <w:r w:rsidR="00CB389A">
        <w:t>auspices</w:t>
      </w:r>
      <w:r w:rsidR="00CD35E7">
        <w:t xml:space="preserve"> of CSME, and title was then transferred directly to the yard, Mr Bright would be raising exactly the same objection</w:t>
      </w:r>
      <w:r w:rsidR="00156A16">
        <w:t>s</w:t>
      </w:r>
      <w:r w:rsidR="00CD35E7">
        <w:t>.</w:t>
      </w:r>
      <w:r w:rsidR="00CB389A">
        <w:t>”</w:t>
      </w:r>
    </w:p>
    <w:p w14:paraId="06EF2A67" w14:textId="3F66C28D" w:rsidR="00634367" w:rsidRDefault="005F3AC4" w:rsidP="00AB117A">
      <w:pPr>
        <w:pStyle w:val="ParaLevel1"/>
      </w:pPr>
      <w:r>
        <w:t>Those</w:t>
      </w:r>
      <w:r w:rsidR="004320F1">
        <w:t xml:space="preserve"> then</w:t>
      </w:r>
      <w:r>
        <w:t xml:space="preserve"> are the factual assumptions against which these </w:t>
      </w:r>
      <w:r w:rsidR="00AF395E">
        <w:t>applications</w:t>
      </w:r>
      <w:r w:rsidR="004320F1">
        <w:t xml:space="preserve"> were decided and</w:t>
      </w:r>
      <w:r w:rsidR="005C2D49">
        <w:t xml:space="preserve"> which must govern</w:t>
      </w:r>
      <w:r w:rsidR="00AF395E">
        <w:t xml:space="preserve"> this appeal. </w:t>
      </w:r>
      <w:r w:rsidR="00F72421">
        <w:t>For the purposes of these applications, a</w:t>
      </w:r>
      <w:r w:rsidR="00EA19BA">
        <w:t xml:space="preserve">ny investigation of the </w:t>
      </w:r>
      <w:r w:rsidR="000C0BF4">
        <w:t xml:space="preserve">actual </w:t>
      </w:r>
      <w:r w:rsidR="00EA19BA">
        <w:t xml:space="preserve">facts, </w:t>
      </w:r>
      <w:r w:rsidR="000C0BF4">
        <w:t>let alone</w:t>
      </w:r>
      <w:r w:rsidR="00EA19BA">
        <w:t xml:space="preserve"> a mini-trial on any contested areas of the evidence, is not only inappro</w:t>
      </w:r>
      <w:r w:rsidR="0076613D">
        <w:t>priate, it is also unnecessary</w:t>
      </w:r>
      <w:r w:rsidR="000C0BF4">
        <w:t>.</w:t>
      </w:r>
      <w:r w:rsidR="0076613D">
        <w:t xml:space="preserve"> </w:t>
      </w:r>
    </w:p>
    <w:p w14:paraId="4290FB87" w14:textId="7EC9FF80" w:rsidR="00BF1271" w:rsidRDefault="00AF395E" w:rsidP="00AB117A">
      <w:pPr>
        <w:pStyle w:val="ParaLevel1"/>
      </w:pPr>
      <w:r>
        <w:t xml:space="preserve">Two </w:t>
      </w:r>
      <w:r w:rsidR="001D0074">
        <w:t>consequences</w:t>
      </w:r>
      <w:r>
        <w:t xml:space="preserve"> </w:t>
      </w:r>
      <w:r w:rsidR="0076613D">
        <w:t xml:space="preserve">of these </w:t>
      </w:r>
      <w:r w:rsidR="00344F08">
        <w:t>assumptions should be immediately</w:t>
      </w:r>
      <w:r>
        <w:t xml:space="preserve"> apparent. </w:t>
      </w:r>
      <w:r w:rsidR="003B0111">
        <w:t>The first is that</w:t>
      </w:r>
      <w:r w:rsidR="00BB6427">
        <w:t>,</w:t>
      </w:r>
      <w:r w:rsidR="003B0111">
        <w:t xml:space="preserve"> whilst there is nothing </w:t>
      </w:r>
      <w:r w:rsidR="00BB6427">
        <w:t xml:space="preserve">in the evidence at the moment </w:t>
      </w:r>
      <w:r w:rsidR="003B0111">
        <w:t xml:space="preserve">which expressly contradicts any of those assumptions, </w:t>
      </w:r>
      <w:r w:rsidR="00621106">
        <w:t>because</w:t>
      </w:r>
      <w:r w:rsidR="003B0111">
        <w:t xml:space="preserve"> they all stem from the </w:t>
      </w:r>
      <w:r w:rsidR="00950003">
        <w:t>Respondent</w:t>
      </w:r>
      <w:r w:rsidR="003B0111">
        <w:t xml:space="preserve">’s case and the evidence to support it, it </w:t>
      </w:r>
      <w:r w:rsidR="00897A07">
        <w:t xml:space="preserve">is </w:t>
      </w:r>
      <w:r w:rsidR="00621106">
        <w:t>likely</w:t>
      </w:r>
      <w:r w:rsidR="00897A07">
        <w:t xml:space="preserve"> that </w:t>
      </w:r>
      <w:r w:rsidR="00465415">
        <w:t>some</w:t>
      </w:r>
      <w:r w:rsidR="009D57D9">
        <w:t xml:space="preserve"> of them</w:t>
      </w:r>
      <w:r w:rsidR="00465415">
        <w:t xml:space="preserve">, perhaps </w:t>
      </w:r>
      <w:r w:rsidR="00897A07">
        <w:t>many</w:t>
      </w:r>
      <w:r w:rsidR="00465415">
        <w:t>,</w:t>
      </w:r>
      <w:r w:rsidR="00897A07">
        <w:t xml:space="preserve"> </w:t>
      </w:r>
      <w:r w:rsidR="00621106">
        <w:t>will be</w:t>
      </w:r>
      <w:r w:rsidR="00897A07">
        <w:t xml:space="preserve"> disputed at trial. </w:t>
      </w:r>
      <w:r w:rsidR="00621106">
        <w:t>Th</w:t>
      </w:r>
      <w:r w:rsidR="00F240A9">
        <w:t>e assumptions</w:t>
      </w:r>
      <w:r w:rsidR="00621106">
        <w:t xml:space="preserve"> therefore</w:t>
      </w:r>
      <w:r w:rsidR="00F21352">
        <w:t xml:space="preserve"> would appear to</w:t>
      </w:r>
      <w:r w:rsidR="00621106">
        <w:t xml:space="preserve"> </w:t>
      </w:r>
      <w:r w:rsidR="00F240A9">
        <w:t xml:space="preserve">represent </w:t>
      </w:r>
      <w:r w:rsidR="00621106">
        <w:t xml:space="preserve">the </w:t>
      </w:r>
      <w:r w:rsidR="00950003">
        <w:t>Respondent</w:t>
      </w:r>
      <w:r w:rsidR="00185745">
        <w:t xml:space="preserve">’s case at its highest. </w:t>
      </w:r>
      <w:r w:rsidR="00B14327">
        <w:t xml:space="preserve">It is </w:t>
      </w:r>
      <w:r w:rsidR="00792391">
        <w:t>not easy</w:t>
      </w:r>
      <w:r w:rsidR="00B14327">
        <w:t xml:space="preserve"> to see how </w:t>
      </w:r>
      <w:r w:rsidR="002F6DC7">
        <w:t xml:space="preserve">it could be materially improved at trial. </w:t>
      </w:r>
      <w:r w:rsidR="00344F08">
        <w:t xml:space="preserve">Unlike </w:t>
      </w:r>
      <w:proofErr w:type="spellStart"/>
      <w:r w:rsidR="00775B7F" w:rsidRPr="00775B7F">
        <w:rPr>
          <w:i/>
          <w:iCs/>
        </w:rPr>
        <w:t>Okpabi</w:t>
      </w:r>
      <w:proofErr w:type="spellEnd"/>
      <w:r w:rsidR="00775B7F">
        <w:t xml:space="preserve">, </w:t>
      </w:r>
      <w:r w:rsidR="002F6DC7">
        <w:t>therefore,</w:t>
      </w:r>
      <w:r w:rsidR="00AF5B5C">
        <w:t xml:space="preserve"> the </w:t>
      </w:r>
      <w:r w:rsidR="000C0196">
        <w:t>crucial question</w:t>
      </w:r>
      <w:r w:rsidR="001C7459">
        <w:t>s here</w:t>
      </w:r>
      <w:r w:rsidR="000C0196">
        <w:t xml:space="preserve"> fall to be answered against the background of</w:t>
      </w:r>
      <w:r w:rsidR="006B2FC3">
        <w:t xml:space="preserve"> the assumptions that the </w:t>
      </w:r>
      <w:r w:rsidR="00950003">
        <w:t>Respondent</w:t>
      </w:r>
      <w:r w:rsidR="00BF1271">
        <w:t xml:space="preserve"> </w:t>
      </w:r>
      <w:r w:rsidR="00451625">
        <w:t>herself wants</w:t>
      </w:r>
      <w:r w:rsidR="00BF1271">
        <w:t xml:space="preserve"> the court to make.</w:t>
      </w:r>
    </w:p>
    <w:p w14:paraId="4EB24519" w14:textId="7F41B45F" w:rsidR="00CB389A" w:rsidRDefault="00897A07" w:rsidP="00AB117A">
      <w:pPr>
        <w:pStyle w:val="ParaLevel1"/>
      </w:pPr>
      <w:r>
        <w:t xml:space="preserve">The second </w:t>
      </w:r>
      <w:r w:rsidR="00185745">
        <w:t>consequence</w:t>
      </w:r>
      <w:r>
        <w:t xml:space="preserve"> is that the making of so many </w:t>
      </w:r>
      <w:r w:rsidR="00465415">
        <w:t>critical</w:t>
      </w:r>
      <w:r>
        <w:t xml:space="preserve"> assumptions, in a case where the duty alleged </w:t>
      </w:r>
      <w:r w:rsidR="00BF1271">
        <w:t>could</w:t>
      </w:r>
      <w:r>
        <w:t xml:space="preserve"> </w:t>
      </w:r>
      <w:r w:rsidR="00465415">
        <w:t xml:space="preserve">fairly </w:t>
      </w:r>
      <w:r w:rsidR="00BF1271">
        <w:t xml:space="preserve">be </w:t>
      </w:r>
      <w:r w:rsidR="00465415">
        <w:t xml:space="preserve">described as </w:t>
      </w:r>
      <w:r w:rsidR="00BF1271">
        <w:t>a</w:t>
      </w:r>
      <w:r w:rsidR="00451625">
        <w:t>n unusual</w:t>
      </w:r>
      <w:r w:rsidR="00BF1271">
        <w:t xml:space="preserve"> extension of an exi</w:t>
      </w:r>
      <w:r w:rsidR="00D63577">
        <w:t>sting principle</w:t>
      </w:r>
      <w:r>
        <w:t xml:space="preserve">, </w:t>
      </w:r>
      <w:r w:rsidR="005B2C33">
        <w:t xml:space="preserve">may </w:t>
      </w:r>
      <w:r w:rsidR="00D54FAB">
        <w:t xml:space="preserve">take us </w:t>
      </w:r>
      <w:r w:rsidR="00B30C28">
        <w:t>in</w:t>
      </w:r>
      <w:r w:rsidR="00D54FAB">
        <w:t>to the doubtful area</w:t>
      </w:r>
      <w:r w:rsidR="00D63577">
        <w:t xml:space="preserve"> of deciding important questions of law on assumed facts</w:t>
      </w:r>
      <w:r w:rsidR="008D6DCC">
        <w:t>, as</w:t>
      </w:r>
      <w:r w:rsidR="00D54FAB">
        <w:t xml:space="preserve"> identified by Lord Browne-Wilkinson in </w:t>
      </w:r>
      <w:r w:rsidR="00D54FAB" w:rsidRPr="002160C3">
        <w:rPr>
          <w:i/>
        </w:rPr>
        <w:t>Barre</w:t>
      </w:r>
      <w:r w:rsidR="002160C3" w:rsidRPr="002160C3">
        <w:rPr>
          <w:i/>
        </w:rPr>
        <w:t>t</w:t>
      </w:r>
      <w:r w:rsidR="00D54FAB" w:rsidRPr="002160C3">
        <w:rPr>
          <w:i/>
        </w:rPr>
        <w:t>t</w:t>
      </w:r>
      <w:r w:rsidR="00345300">
        <w:t xml:space="preserve"> </w:t>
      </w:r>
      <w:r w:rsidR="00DD0648">
        <w:t xml:space="preserve">and Lord Briggs in </w:t>
      </w:r>
      <w:r w:rsidR="00DD0648" w:rsidRPr="00DD0648">
        <w:rPr>
          <w:i/>
          <w:iCs/>
        </w:rPr>
        <w:t>Vedanta</w:t>
      </w:r>
      <w:r w:rsidR="00DD0648">
        <w:t>.</w:t>
      </w:r>
    </w:p>
    <w:p w14:paraId="64B388DD" w14:textId="77777777" w:rsidR="003D4969" w:rsidRPr="003D4969" w:rsidRDefault="003D4969" w:rsidP="00AB117A">
      <w:pPr>
        <w:pStyle w:val="ParaLevel1"/>
        <w:numPr>
          <w:ilvl w:val="0"/>
          <w:numId w:val="0"/>
        </w:numPr>
        <w:rPr>
          <w:b/>
          <w:u w:val="single"/>
        </w:rPr>
      </w:pPr>
      <w:r w:rsidRPr="003D4969">
        <w:rPr>
          <w:b/>
          <w:u w:val="single"/>
        </w:rPr>
        <w:t>6 DUTY OF CARE: ROUTE 1</w:t>
      </w:r>
    </w:p>
    <w:p w14:paraId="38A16EF4" w14:textId="7FC9F3D9" w:rsidR="006E4E72" w:rsidRDefault="00336746" w:rsidP="00AB117A">
      <w:pPr>
        <w:pStyle w:val="ParaLevel1"/>
      </w:pPr>
      <w:r>
        <w:t>T</w:t>
      </w:r>
      <w:r w:rsidR="00B629B1">
        <w:t>he duty of care in this case is pleaded at paragraph</w:t>
      </w:r>
      <w:r>
        <w:t xml:space="preserve"> </w:t>
      </w:r>
      <w:r w:rsidR="00156A16">
        <w:t>8</w:t>
      </w:r>
      <w:r w:rsidR="00B629B1">
        <w:t>8 of the particulars of claim as follows:</w:t>
      </w:r>
    </w:p>
    <w:p w14:paraId="6CD882D5" w14:textId="265E71D1" w:rsidR="0050378A" w:rsidRDefault="006E4E72" w:rsidP="00AB117A">
      <w:pPr>
        <w:pStyle w:val="ParaLevel1"/>
        <w:numPr>
          <w:ilvl w:val="0"/>
          <w:numId w:val="0"/>
        </w:numPr>
        <w:ind w:left="1418" w:right="851"/>
      </w:pPr>
      <w:r>
        <w:lastRenderedPageBreak/>
        <w:t xml:space="preserve">“At all material times, the Defendant </w:t>
      </w:r>
      <w:r w:rsidR="007E66A2">
        <w:t xml:space="preserve">owed </w:t>
      </w:r>
      <w:r>
        <w:t xml:space="preserve">the Deceased a common law duty of care. The duty of care required the </w:t>
      </w:r>
      <w:r w:rsidR="00D567F2">
        <w:t>D</w:t>
      </w:r>
      <w:r>
        <w:t>efendant to take all reasonable steps to ensu</w:t>
      </w:r>
      <w:r w:rsidR="005E296D">
        <w:t>r</w:t>
      </w:r>
      <w:r>
        <w:t xml:space="preserve">e that its </w:t>
      </w:r>
      <w:r w:rsidR="005E296D">
        <w:t xml:space="preserve">negotiated and </w:t>
      </w:r>
      <w:r w:rsidR="00D567F2">
        <w:t xml:space="preserve">agreed </w:t>
      </w:r>
      <w:r w:rsidR="005E296D">
        <w:t>end of life sale and the consequent disposal of the Vess</w:t>
      </w:r>
      <w:r w:rsidR="0050378A">
        <w:t>e</w:t>
      </w:r>
      <w:r w:rsidR="005E296D">
        <w:t>l for demolition would not and did not endanger human health, damage the environment and/or breach international regulations for the protection of human health and the environment.”</w:t>
      </w:r>
    </w:p>
    <w:p w14:paraId="73B3A223" w14:textId="3EEBEC2C" w:rsidR="00C23CD7" w:rsidRDefault="0050378A" w:rsidP="00AB117A">
      <w:pPr>
        <w:pStyle w:val="ParaLevel1"/>
        <w:numPr>
          <w:ilvl w:val="0"/>
          <w:numId w:val="0"/>
        </w:numPr>
        <w:ind w:left="720"/>
      </w:pPr>
      <w:r>
        <w:t xml:space="preserve">Paragraph 89 </w:t>
      </w:r>
      <w:r w:rsidR="00431419">
        <w:t>avers that this duty fell within well-</w:t>
      </w:r>
      <w:r w:rsidR="00FE14E3">
        <w:t>recognised</w:t>
      </w:r>
      <w:r w:rsidR="00431419">
        <w:t xml:space="preserve"> categories of the </w:t>
      </w:r>
      <w:r w:rsidR="001E0A4D">
        <w:t>tort of negligence and paragraph 90 provide</w:t>
      </w:r>
      <w:r w:rsidR="00585C80">
        <w:t>s</w:t>
      </w:r>
      <w:r w:rsidR="001E0A4D">
        <w:t xml:space="preserve"> particulars as to foreseeability, proximity and </w:t>
      </w:r>
      <w:r w:rsidR="00FE14E3">
        <w:t>held why it is fair, just and reasonable to impose such a duty.</w:t>
      </w:r>
      <w:r w:rsidR="006E4E72">
        <w:t xml:space="preserve"> </w:t>
      </w:r>
      <w:r w:rsidR="00A82067">
        <w:t xml:space="preserve"> </w:t>
      </w:r>
    </w:p>
    <w:p w14:paraId="621C2119" w14:textId="3758C6FD" w:rsidR="000F2951" w:rsidRDefault="00C23CD7" w:rsidP="00AB117A">
      <w:pPr>
        <w:pStyle w:val="ParaLevel1"/>
      </w:pPr>
      <w:r>
        <w:t xml:space="preserve">Mr </w:t>
      </w:r>
      <w:proofErr w:type="spellStart"/>
      <w:r w:rsidR="00A82067">
        <w:t>H</w:t>
      </w:r>
      <w:r w:rsidR="00217822">
        <w:t>e</w:t>
      </w:r>
      <w:r w:rsidR="00A82067">
        <w:t>rmer’s</w:t>
      </w:r>
      <w:proofErr w:type="spellEnd"/>
      <w:r w:rsidR="00A82067">
        <w:t xml:space="preserve"> </w:t>
      </w:r>
      <w:r w:rsidR="00C013CA">
        <w:t>first</w:t>
      </w:r>
      <w:r w:rsidR="003E0EE3">
        <w:t xml:space="preserve"> </w:t>
      </w:r>
      <w:r w:rsidR="00A4073F">
        <w:t>submission</w:t>
      </w:r>
      <w:r w:rsidR="009D6408">
        <w:t xml:space="preserve"> in support of the existence of this</w:t>
      </w:r>
      <w:r w:rsidR="003E0EE3">
        <w:t xml:space="preserve"> duty </w:t>
      </w:r>
      <w:r w:rsidR="00C013CA">
        <w:t xml:space="preserve">of care </w:t>
      </w:r>
      <w:r w:rsidR="003E0EE3">
        <w:t xml:space="preserve">was </w:t>
      </w:r>
      <w:r w:rsidR="00C013CA">
        <w:t>by reference to</w:t>
      </w:r>
      <w:r w:rsidR="000F1E3F">
        <w:t xml:space="preserve"> what he said were straightforward</w:t>
      </w:r>
      <w:r w:rsidR="00CA4A49">
        <w:t xml:space="preserve"> </w:t>
      </w:r>
      <w:r w:rsidR="007F79AF" w:rsidRPr="003A1F07">
        <w:rPr>
          <w:i/>
        </w:rPr>
        <w:t>Donoghue v Stevenson</w:t>
      </w:r>
      <w:r w:rsidR="00F30876">
        <w:rPr>
          <w:i/>
        </w:rPr>
        <w:t xml:space="preserve"> </w:t>
      </w:r>
      <w:r w:rsidR="00F30876">
        <w:t>principles. The jud</w:t>
      </w:r>
      <w:r w:rsidR="00FB6D0C">
        <w:t>ge w</w:t>
      </w:r>
      <w:r w:rsidR="00F30876">
        <w:t>as unimpressed</w:t>
      </w:r>
      <w:r w:rsidR="00055ECD">
        <w:t xml:space="preserve"> with th</w:t>
      </w:r>
      <w:r w:rsidR="000F1E3F">
        <w:t>at</w:t>
      </w:r>
      <w:r w:rsidR="00055ECD">
        <w:t xml:space="preserve"> way </w:t>
      </w:r>
      <w:r w:rsidR="00CD5284">
        <w:t>of putting the duty</w:t>
      </w:r>
      <w:r w:rsidR="00F30876">
        <w:t>, dealing with the argument in one paragra</w:t>
      </w:r>
      <w:r w:rsidR="00287AC5">
        <w:t>p</w:t>
      </w:r>
      <w:r w:rsidR="00F30876">
        <w:t>h</w:t>
      </w:r>
      <w:r w:rsidR="00FB6D0C">
        <w:t>:</w:t>
      </w:r>
    </w:p>
    <w:p w14:paraId="3740500A" w14:textId="5005C552" w:rsidR="00FB6D0C" w:rsidRDefault="00FB6D0C" w:rsidP="00AB117A">
      <w:pPr>
        <w:pStyle w:val="ParaLevel1"/>
        <w:numPr>
          <w:ilvl w:val="0"/>
          <w:numId w:val="0"/>
        </w:numPr>
        <w:ind w:left="1418" w:right="851"/>
      </w:pPr>
      <w:r>
        <w:t>“37</w:t>
      </w:r>
      <w:r w:rsidR="00BF7AD9">
        <w:t xml:space="preserve">. </w:t>
      </w:r>
      <w:bookmarkStart w:id="7" w:name="para37"/>
      <w:r w:rsidR="00BF7AD9">
        <w:t xml:space="preserve">In my judgment, the present case does not fit comfortably within elementary </w:t>
      </w:r>
      <w:r w:rsidR="00BF7AD9">
        <w:rPr>
          <w:i/>
          <w:iCs/>
        </w:rPr>
        <w:t>Donoghue v Stevenson</w:t>
      </w:r>
      <w:r w:rsidR="00BF7AD9">
        <w:t xml:space="preserve"> principles. In that case there was a chain of contractual relationships, all part of Mr </w:t>
      </w:r>
      <w:proofErr w:type="spellStart"/>
      <w:r w:rsidR="00BF7AD9">
        <w:t>Hermer's</w:t>
      </w:r>
      <w:proofErr w:type="spellEnd"/>
      <w:r w:rsidR="00BF7AD9">
        <w:t xml:space="preserve"> so-called "continuum", but there was no intervening action of any sort by a third party. This was because the ginger beer was concealed in an opaque bottle and no one along this contractual chain (aside from the manufacturer) was in any way responsible either for putting it there or failing to detect its presence. The present case is different owing to the interventions of the owner of the yard and/or the deceased's employer in causing him to work on the vessel without taking proper precautions</w:t>
      </w:r>
      <w:bookmarkEnd w:id="7"/>
      <w:r w:rsidR="000B25E0">
        <w:t>…”</w:t>
      </w:r>
    </w:p>
    <w:p w14:paraId="0AA1A0E5" w14:textId="0706F0CF" w:rsidR="004279D7" w:rsidRDefault="00BC1703" w:rsidP="00AB117A">
      <w:pPr>
        <w:pStyle w:val="ParaLevel1"/>
        <w:numPr>
          <w:ilvl w:val="0"/>
          <w:numId w:val="0"/>
        </w:numPr>
        <w:ind w:left="720"/>
      </w:pPr>
      <w:r>
        <w:t xml:space="preserve">The judge apparently only spared this </w:t>
      </w:r>
      <w:r w:rsidR="00CE2866">
        <w:t xml:space="preserve">alleged </w:t>
      </w:r>
      <w:r>
        <w:t xml:space="preserve">basis for the </w:t>
      </w:r>
      <w:r w:rsidR="00DD0648">
        <w:t>duty</w:t>
      </w:r>
      <w:r>
        <w:t xml:space="preserve"> </w:t>
      </w:r>
      <w:r w:rsidR="0059411A">
        <w:t xml:space="preserve">of care </w:t>
      </w:r>
      <w:r w:rsidR="00CE2866">
        <w:t xml:space="preserve">from strike out </w:t>
      </w:r>
      <w:r w:rsidR="002832E3">
        <w:t xml:space="preserve">on the application </w:t>
      </w:r>
      <w:r w:rsidR="003E53E1">
        <w:t xml:space="preserve">of </w:t>
      </w:r>
      <w:r w:rsidR="00287AC5">
        <w:t>the</w:t>
      </w:r>
      <w:r w:rsidR="003E53E1">
        <w:t xml:space="preserve"> p</w:t>
      </w:r>
      <w:r w:rsidR="0081254F">
        <w:t xml:space="preserve">rinciple in </w:t>
      </w:r>
      <w:r w:rsidR="003E53E1">
        <w:rPr>
          <w:i/>
        </w:rPr>
        <w:t>Barrett</w:t>
      </w:r>
      <w:r w:rsidR="00345300">
        <w:rPr>
          <w:i/>
        </w:rPr>
        <w:t>.</w:t>
      </w:r>
    </w:p>
    <w:p w14:paraId="2EBCA5E3" w14:textId="3B9927B6" w:rsidR="001738E4" w:rsidRDefault="001738E4" w:rsidP="00AB117A">
      <w:pPr>
        <w:pStyle w:val="ParaLevel1"/>
      </w:pPr>
      <w:r>
        <w:t xml:space="preserve">On this primary way of putting the </w:t>
      </w:r>
      <w:r w:rsidR="00B25A99">
        <w:t>duty</w:t>
      </w:r>
      <w:r>
        <w:t xml:space="preserve">, the </w:t>
      </w:r>
      <w:r w:rsidR="00950003">
        <w:t>Respondent</w:t>
      </w:r>
      <w:r>
        <w:t xml:space="preserve"> </w:t>
      </w:r>
      <w:r w:rsidR="00B25A99">
        <w:t xml:space="preserve">would </w:t>
      </w:r>
      <w:r>
        <w:t xml:space="preserve">need to establish that the </w:t>
      </w:r>
      <w:r w:rsidR="00950003">
        <w:t>Appellant</w:t>
      </w:r>
      <w:r>
        <w:t xml:space="preserve"> had a duty to take reasonable care to avoid acts or omissions which it could reasonably foresee would be likely to injure the deceased, and </w:t>
      </w:r>
      <w:r w:rsidR="0073670E">
        <w:t xml:space="preserve">that </w:t>
      </w:r>
      <w:r>
        <w:t xml:space="preserve">the deceased was his </w:t>
      </w:r>
      <w:r w:rsidR="0073670E">
        <w:t>‘</w:t>
      </w:r>
      <w:r>
        <w:t>neighbour</w:t>
      </w:r>
      <w:r w:rsidR="0073670E">
        <w:t>’</w:t>
      </w:r>
      <w:r>
        <w:t xml:space="preserve"> because he was “so closely and directly affected by [the </w:t>
      </w:r>
      <w:r w:rsidR="00950003">
        <w:t>Appellant</w:t>
      </w:r>
      <w:r>
        <w:t xml:space="preserve">’s] act that [the </w:t>
      </w:r>
      <w:r w:rsidR="00950003">
        <w:t>Appellant</w:t>
      </w:r>
      <w:r>
        <w:t xml:space="preserve">] ought reasonably to have him in contemplation as being so affected when [the </w:t>
      </w:r>
      <w:r w:rsidR="00950003">
        <w:t>Appellant</w:t>
      </w:r>
      <w:r>
        <w:t xml:space="preserve">] was directing its mind to the acts or omissions which are called in question”: </w:t>
      </w:r>
      <w:r w:rsidRPr="003A1F07">
        <w:rPr>
          <w:i/>
        </w:rPr>
        <w:t>Donoghue v Stevenson</w:t>
      </w:r>
      <w:r>
        <w:rPr>
          <w:i/>
        </w:rPr>
        <w:t xml:space="preserve"> </w:t>
      </w:r>
      <w:r>
        <w:t>[1932] AC 5</w:t>
      </w:r>
      <w:r w:rsidR="00E1167F">
        <w:t>62</w:t>
      </w:r>
      <w:r>
        <w:t>.</w:t>
      </w:r>
    </w:p>
    <w:p w14:paraId="5A926EE5" w14:textId="42AD6C6A" w:rsidR="00C17EFF" w:rsidRDefault="00C17EFF" w:rsidP="00AB117A">
      <w:pPr>
        <w:pStyle w:val="ParaLevel1"/>
      </w:pPr>
      <w:r>
        <w:t>In my view,</w:t>
      </w:r>
      <w:r w:rsidR="0055019F">
        <w:t xml:space="preserve"> th</w:t>
      </w:r>
      <w:r w:rsidR="008146CA">
        <w:t xml:space="preserve">e </w:t>
      </w:r>
      <w:r w:rsidR="00950003">
        <w:t>Respondent</w:t>
      </w:r>
      <w:r w:rsidR="008146CA">
        <w:t>’s first</w:t>
      </w:r>
      <w:r w:rsidR="0059411A">
        <w:t xml:space="preserve"> way of putting the</w:t>
      </w:r>
      <w:r w:rsidR="0055019F">
        <w:t xml:space="preserve"> duty</w:t>
      </w:r>
      <w:r>
        <w:t xml:space="preserve"> hangs its metaphorical hat very firmly on foreseeability. </w:t>
      </w:r>
      <w:r w:rsidR="0055019F">
        <w:t>But f</w:t>
      </w:r>
      <w:r>
        <w:t xml:space="preserve">oreseeability </w:t>
      </w:r>
      <w:r w:rsidR="0073670E">
        <w:t xml:space="preserve">alone </w:t>
      </w:r>
      <w:r w:rsidR="0059411A">
        <w:t>can</w:t>
      </w:r>
      <w:r>
        <w:t xml:space="preserve">not create a duty of care: see Lord Goff in </w:t>
      </w:r>
      <w:r w:rsidRPr="000E4D13">
        <w:rPr>
          <w:i/>
        </w:rPr>
        <w:t>Smith v Littlewoods</w:t>
      </w:r>
      <w:r>
        <w:t xml:space="preserve"> at 272</w:t>
      </w:r>
      <w:r w:rsidR="0059411A">
        <w:t>-</w:t>
      </w:r>
      <w:r>
        <w:t xml:space="preserve">279; Lord Hope in </w:t>
      </w:r>
      <w:r w:rsidRPr="00DD5CB2">
        <w:rPr>
          <w:i/>
        </w:rPr>
        <w:t xml:space="preserve">Mitchell v Glasgow City Council </w:t>
      </w:r>
      <w:r>
        <w:t xml:space="preserve">[2009] 1 AC 874 at paragraph 15; and Lady Hale in the same case at paragraph 76. Hence the need for Mr </w:t>
      </w:r>
      <w:proofErr w:type="spellStart"/>
      <w:r>
        <w:t>Hermer</w:t>
      </w:r>
      <w:proofErr w:type="spellEnd"/>
      <w:r>
        <w:t xml:space="preserve"> to show sufficient proximity between the deceased and the </w:t>
      </w:r>
      <w:r w:rsidR="00950003">
        <w:t>Appellant</w:t>
      </w:r>
      <w:r w:rsidR="00360A98">
        <w:t xml:space="preserve">; that the </w:t>
      </w:r>
      <w:r w:rsidR="00950003">
        <w:t>Appellant</w:t>
      </w:r>
      <w:r w:rsidR="00360A98">
        <w:t xml:space="preserve"> ought to have had the deceased reasonably in contemplation at the time of choosing </w:t>
      </w:r>
      <w:r w:rsidR="006D60B5">
        <w:t xml:space="preserve">to sell to </w:t>
      </w:r>
      <w:proofErr w:type="spellStart"/>
      <w:r w:rsidR="00360A98">
        <w:t>Hsejar</w:t>
      </w:r>
      <w:proofErr w:type="spellEnd"/>
      <w:r>
        <w:t xml:space="preserve">. </w:t>
      </w:r>
      <w:r w:rsidR="00407955">
        <w:t>That is</w:t>
      </w:r>
      <w:r w:rsidR="00467D67">
        <w:t xml:space="preserve"> </w:t>
      </w:r>
      <w:r w:rsidR="00513AD3">
        <w:t xml:space="preserve">rather </w:t>
      </w:r>
      <w:r w:rsidR="00407955">
        <w:t>more difficult</w:t>
      </w:r>
      <w:r w:rsidR="004B2D5D">
        <w:t xml:space="preserve">. Is there really such a close connection between a shipbroker in London and a </w:t>
      </w:r>
      <w:r w:rsidR="00A24B2C">
        <w:t xml:space="preserve">worker in the </w:t>
      </w:r>
      <w:proofErr w:type="spellStart"/>
      <w:r w:rsidR="00A24B2C">
        <w:t>Ch</w:t>
      </w:r>
      <w:r w:rsidR="00467D67">
        <w:t>a</w:t>
      </w:r>
      <w:r w:rsidR="00A24B2C">
        <w:t>ttogram</w:t>
      </w:r>
      <w:proofErr w:type="spellEnd"/>
      <w:r w:rsidR="00A24B2C">
        <w:t xml:space="preserve"> shipyards</w:t>
      </w:r>
      <w:r w:rsidR="00467D67">
        <w:t>,</w:t>
      </w:r>
      <w:r w:rsidR="00A24B2C">
        <w:t xml:space="preserve"> that the former should have regarded the latter as its ‘neighbour’?</w:t>
      </w:r>
    </w:p>
    <w:p w14:paraId="11232735" w14:textId="4B8A2BDD" w:rsidR="000142F9" w:rsidRDefault="00407955" w:rsidP="00AB117A">
      <w:pPr>
        <w:pStyle w:val="ParaLevel1"/>
      </w:pPr>
      <w:r>
        <w:lastRenderedPageBreak/>
        <w:t xml:space="preserve">Perhaps alive to that </w:t>
      </w:r>
      <w:r w:rsidR="008D0E28">
        <w:t xml:space="preserve">potentially </w:t>
      </w:r>
      <w:r w:rsidR="00F8014D">
        <w:t xml:space="preserve">difficult </w:t>
      </w:r>
      <w:r>
        <w:t xml:space="preserve">issue, </w:t>
      </w:r>
      <w:r w:rsidR="00FD7A52">
        <w:t>o</w:t>
      </w:r>
      <w:r w:rsidR="00786C74">
        <w:t xml:space="preserve">n appeal Mr </w:t>
      </w:r>
      <w:proofErr w:type="spellStart"/>
      <w:r w:rsidR="00786C74">
        <w:t>Hermer</w:t>
      </w:r>
      <w:proofErr w:type="spellEnd"/>
      <w:r w:rsidR="00786C74">
        <w:t xml:space="preserve"> put </w:t>
      </w:r>
      <w:r w:rsidR="000D1BD4">
        <w:t xml:space="preserve">his </w:t>
      </w:r>
      <w:r w:rsidR="004C2A15">
        <w:t>argument</w:t>
      </w:r>
      <w:r w:rsidR="002045EB">
        <w:t xml:space="preserve"> based on </w:t>
      </w:r>
      <w:r w:rsidR="009658D8" w:rsidRPr="009658D8">
        <w:rPr>
          <w:i/>
          <w:iCs/>
        </w:rPr>
        <w:t>Don</w:t>
      </w:r>
      <w:r w:rsidR="00E1167F">
        <w:rPr>
          <w:i/>
          <w:iCs/>
        </w:rPr>
        <w:t>o</w:t>
      </w:r>
      <w:r w:rsidR="009658D8" w:rsidRPr="009658D8">
        <w:rPr>
          <w:i/>
          <w:iCs/>
        </w:rPr>
        <w:t>ghue v Stevenson</w:t>
      </w:r>
      <w:r w:rsidR="000D1BD4">
        <w:t xml:space="preserve"> </w:t>
      </w:r>
      <w:r w:rsidR="00D63412">
        <w:t xml:space="preserve">principles </w:t>
      </w:r>
      <w:r w:rsidR="000D1BD4">
        <w:t xml:space="preserve">– what he called route 1 - </w:t>
      </w:r>
      <w:r w:rsidR="00786C74">
        <w:t xml:space="preserve"> </w:t>
      </w:r>
      <w:r w:rsidR="00FD7A52">
        <w:t>in a</w:t>
      </w:r>
      <w:r w:rsidR="00786C74">
        <w:t xml:space="preserve"> </w:t>
      </w:r>
      <w:r w:rsidR="00D63412">
        <w:t xml:space="preserve">slightly </w:t>
      </w:r>
      <w:r w:rsidR="00786C74">
        <w:t>different</w:t>
      </w:r>
      <w:r w:rsidR="00FD7A52">
        <w:t xml:space="preserve"> way</w:t>
      </w:r>
      <w:r w:rsidR="00786C74">
        <w:t>. He said that there were two questions</w:t>
      </w:r>
      <w:r w:rsidR="00C342E5">
        <w:t xml:space="preserve"> for the court to answer</w:t>
      </w:r>
      <w:r w:rsidR="00786C74">
        <w:t>. The first wa</w:t>
      </w:r>
      <w:r w:rsidR="00F8014D">
        <w:t>s:</w:t>
      </w:r>
      <w:r w:rsidR="00786C74">
        <w:t xml:space="preserve"> if the </w:t>
      </w:r>
      <w:r w:rsidR="00950003">
        <w:t>Appellant</w:t>
      </w:r>
      <w:r w:rsidR="00786C74">
        <w:t xml:space="preserve"> </w:t>
      </w:r>
      <w:r w:rsidR="00D66E1B">
        <w:t xml:space="preserve">had </w:t>
      </w:r>
      <w:r w:rsidR="00786C74">
        <w:t>sold a dangerous product direct to the yard</w:t>
      </w:r>
      <w:r w:rsidR="00275FA0">
        <w:t xml:space="preserve"> with full knowledge of its unsafe practices, was the </w:t>
      </w:r>
      <w:r w:rsidR="00950003">
        <w:t>Appellant</w:t>
      </w:r>
      <w:r w:rsidR="00275FA0">
        <w:t xml:space="preserve">’s relationship with the deceased sufficiently </w:t>
      </w:r>
      <w:r w:rsidR="00326849">
        <w:t>proximate to establish a duty of care</w:t>
      </w:r>
      <w:r w:rsidR="004C2A15">
        <w:t>?</w:t>
      </w:r>
      <w:r w:rsidR="00326849">
        <w:t xml:space="preserve"> He said the answer to th</w:t>
      </w:r>
      <w:r w:rsidR="000C1317">
        <w:t>at</w:t>
      </w:r>
      <w:r w:rsidR="00F14621">
        <w:t xml:space="preserve"> first</w:t>
      </w:r>
      <w:r w:rsidR="00326849">
        <w:t xml:space="preserve"> </w:t>
      </w:r>
      <w:r w:rsidR="002519F3">
        <w:t xml:space="preserve">question </w:t>
      </w:r>
      <w:r w:rsidR="00326849">
        <w:t xml:space="preserve">was </w:t>
      </w:r>
      <w:r w:rsidR="00F14621">
        <w:t>Y</w:t>
      </w:r>
      <w:r w:rsidR="00326849">
        <w:t xml:space="preserve">es. He said the second question was whether that duty could then be negated as a result of </w:t>
      </w:r>
      <w:r w:rsidR="00C233E1">
        <w:t xml:space="preserve">the involvement of third parties. He said </w:t>
      </w:r>
      <w:r w:rsidR="00F14621">
        <w:t>the answer to th</w:t>
      </w:r>
      <w:r w:rsidR="000C1317">
        <w:t>at</w:t>
      </w:r>
      <w:r w:rsidR="00F14621">
        <w:t xml:space="preserve"> second question was No</w:t>
      </w:r>
      <w:r w:rsidR="00C233E1">
        <w:t>.</w:t>
      </w:r>
    </w:p>
    <w:p w14:paraId="0465B0AE" w14:textId="33FD763B" w:rsidR="000142F9" w:rsidRDefault="005E098C" w:rsidP="00AB117A">
      <w:pPr>
        <w:pStyle w:val="ParaLevel1"/>
      </w:pPr>
      <w:r>
        <w:t xml:space="preserve">The </w:t>
      </w:r>
      <w:r w:rsidR="00442047">
        <w:t xml:space="preserve">potential </w:t>
      </w:r>
      <w:r w:rsidR="008B6C28">
        <w:t>difficult</w:t>
      </w:r>
      <w:r w:rsidR="001B025C">
        <w:t>y</w:t>
      </w:r>
      <w:r w:rsidR="008B6C28">
        <w:t xml:space="preserve"> inherent in</w:t>
      </w:r>
      <w:r w:rsidR="00BC2451">
        <w:t xml:space="preserve"> </w:t>
      </w:r>
      <w:r w:rsidR="000E4CA2">
        <w:t xml:space="preserve">Mr </w:t>
      </w:r>
      <w:proofErr w:type="spellStart"/>
      <w:r w:rsidR="000E4CA2">
        <w:t>Hermer’s</w:t>
      </w:r>
      <w:proofErr w:type="spellEnd"/>
      <w:r w:rsidR="000E4CA2">
        <w:t xml:space="preserve"> first question</w:t>
      </w:r>
      <w:r>
        <w:t xml:space="preserve"> is t</w:t>
      </w:r>
      <w:r w:rsidR="00BC2451">
        <w:t>h</w:t>
      </w:r>
      <w:r w:rsidR="001A18C4">
        <w:t xml:space="preserve">at </w:t>
      </w:r>
      <w:r>
        <w:t xml:space="preserve">it </w:t>
      </w:r>
      <w:r w:rsidR="001A18C4">
        <w:t>assumes</w:t>
      </w:r>
      <w:r w:rsidR="00FE64D3">
        <w:t xml:space="preserve"> that the vessel was a </w:t>
      </w:r>
      <w:r w:rsidR="00BC2451">
        <w:t>d</w:t>
      </w:r>
      <w:r w:rsidR="00FE64D3">
        <w:t xml:space="preserve">angerous product. </w:t>
      </w:r>
      <w:r w:rsidR="00225E57">
        <w:t>T</w:t>
      </w:r>
      <w:r w:rsidR="001A18C4">
        <w:t xml:space="preserve">hat </w:t>
      </w:r>
      <w:r w:rsidR="00225E57">
        <w:t>seems to me to be</w:t>
      </w:r>
      <w:r w:rsidR="00FE64D3">
        <w:t xml:space="preserve"> far from </w:t>
      </w:r>
      <w:r w:rsidR="00AC3891">
        <w:t>certain</w:t>
      </w:r>
      <w:r w:rsidR="00F27604">
        <w:t>. I</w:t>
      </w:r>
      <w:r w:rsidR="005842D4">
        <w:t>f its danger lay in its size</w:t>
      </w:r>
      <w:r w:rsidR="00450E11">
        <w:t>, that</w:t>
      </w:r>
      <w:r w:rsidR="006500A1">
        <w:t xml:space="preserve"> was hardly </w:t>
      </w:r>
      <w:r w:rsidR="00FA1EFF">
        <w:t xml:space="preserve">something that was </w:t>
      </w:r>
      <w:r w:rsidR="006500A1">
        <w:t xml:space="preserve">hidden, </w:t>
      </w:r>
      <w:r w:rsidR="00FA1EFF">
        <w:t>in contrast to</w:t>
      </w:r>
      <w:r w:rsidR="006500A1">
        <w:t xml:space="preserve"> the snail </w:t>
      </w:r>
      <w:r w:rsidR="005842D4">
        <w:t xml:space="preserve">in the ginger beer bottle. </w:t>
      </w:r>
      <w:r w:rsidR="00450E11">
        <w:t>Moreover,</w:t>
      </w:r>
      <w:r w:rsidR="00F27604">
        <w:t xml:space="preserve"> </w:t>
      </w:r>
      <w:r w:rsidR="00270B39">
        <w:t xml:space="preserve">it </w:t>
      </w:r>
      <w:r w:rsidR="00F00001">
        <w:t>is</w:t>
      </w:r>
      <w:r w:rsidR="00270B39">
        <w:t xml:space="preserve"> </w:t>
      </w:r>
      <w:r w:rsidR="00F27604">
        <w:t xml:space="preserve">arguable that </w:t>
      </w:r>
      <w:r w:rsidR="00853989">
        <w:t>if</w:t>
      </w:r>
      <w:r w:rsidR="00D467B0">
        <w:t>, say,</w:t>
      </w:r>
      <w:r w:rsidR="00853989">
        <w:t xml:space="preserve"> </w:t>
      </w:r>
      <w:r w:rsidR="00450E11">
        <w:t>the vessel</w:t>
      </w:r>
      <w:r w:rsidR="00853989">
        <w:t xml:space="preserve"> was in a dry dock in China, </w:t>
      </w:r>
      <w:r w:rsidR="003D22D4">
        <w:t xml:space="preserve">surrounded by cranes and safety infrastructure, </w:t>
      </w:r>
      <w:r w:rsidR="001A43C7">
        <w:t>it</w:t>
      </w:r>
      <w:r w:rsidR="00853989">
        <w:t xml:space="preserve"> would not </w:t>
      </w:r>
      <w:r w:rsidR="00F00001">
        <w:t xml:space="preserve">itself </w:t>
      </w:r>
      <w:r w:rsidR="00853989">
        <w:t xml:space="preserve">be inherently dangerous. </w:t>
      </w:r>
      <w:r w:rsidR="0040787F">
        <w:t>W</w:t>
      </w:r>
      <w:r w:rsidR="00FE64D3">
        <w:t xml:space="preserve">hen I put that to Mr </w:t>
      </w:r>
      <w:proofErr w:type="spellStart"/>
      <w:r w:rsidR="00FE64D3">
        <w:t>Hermer</w:t>
      </w:r>
      <w:proofErr w:type="spellEnd"/>
      <w:r w:rsidR="00794AAF">
        <w:t xml:space="preserve"> during the course of argument</w:t>
      </w:r>
      <w:r w:rsidR="00FE64D3">
        <w:t xml:space="preserve">, </w:t>
      </w:r>
      <w:r w:rsidR="00B04BB3">
        <w:t xml:space="preserve">he said </w:t>
      </w:r>
      <w:r w:rsidR="00362040">
        <w:t xml:space="preserve">that </w:t>
      </w:r>
      <w:r w:rsidR="00B04BB3">
        <w:t xml:space="preserve">the vessel was dangerous because its demolition was an inherently dangerous activity. That </w:t>
      </w:r>
      <w:r w:rsidR="00794AAF">
        <w:t xml:space="preserve">answer </w:t>
      </w:r>
      <w:r w:rsidR="00B04BB3">
        <w:t>potentially moves this case outside</w:t>
      </w:r>
      <w:r w:rsidR="003523B4">
        <w:t xml:space="preserve"> the scope of</w:t>
      </w:r>
      <w:r w:rsidR="00721D9C">
        <w:t xml:space="preserve"> ordinary</w:t>
      </w:r>
      <w:r w:rsidR="00B04BB3">
        <w:t xml:space="preserve"> </w:t>
      </w:r>
      <w:r w:rsidR="00B04BB3" w:rsidRPr="003A1F07">
        <w:rPr>
          <w:i/>
        </w:rPr>
        <w:t>Donoghue v Stevenson</w:t>
      </w:r>
      <w:r w:rsidR="00721D9C">
        <w:rPr>
          <w:i/>
        </w:rPr>
        <w:t xml:space="preserve"> </w:t>
      </w:r>
      <w:r w:rsidR="00721D9C" w:rsidRPr="00721D9C">
        <w:rPr>
          <w:iCs/>
        </w:rPr>
        <w:t>principles,</w:t>
      </w:r>
      <w:r w:rsidR="00721D9C">
        <w:rPr>
          <w:i/>
        </w:rPr>
        <w:t xml:space="preserve"> </w:t>
      </w:r>
      <w:r w:rsidR="003A77AC" w:rsidRPr="003A77AC">
        <w:rPr>
          <w:iCs/>
        </w:rPr>
        <w:t>not least</w:t>
      </w:r>
      <w:r w:rsidR="003A77AC">
        <w:rPr>
          <w:i/>
        </w:rPr>
        <w:t xml:space="preserve"> </w:t>
      </w:r>
      <w:r w:rsidR="00B32C29">
        <w:t xml:space="preserve">because the </w:t>
      </w:r>
      <w:r w:rsidR="0086060B">
        <w:t xml:space="preserve">dangerous </w:t>
      </w:r>
      <w:r w:rsidR="00B32C29">
        <w:t xml:space="preserve">activity </w:t>
      </w:r>
      <w:r w:rsidR="001F490C">
        <w:t xml:space="preserve">– namely the demolition - </w:t>
      </w:r>
      <w:r w:rsidR="00B32C29">
        <w:t xml:space="preserve">was not being </w:t>
      </w:r>
      <w:r w:rsidR="001F490C">
        <w:t xml:space="preserve">arranged, supervised or </w:t>
      </w:r>
      <w:r w:rsidR="00B32C29">
        <w:t xml:space="preserve">performed by the </w:t>
      </w:r>
      <w:r w:rsidR="00950003">
        <w:t>Appellant</w:t>
      </w:r>
      <w:r w:rsidR="00B32C29">
        <w:t>.</w:t>
      </w:r>
    </w:p>
    <w:p w14:paraId="4F094F91" w14:textId="222B3279" w:rsidR="0062727C" w:rsidRDefault="00E1327D" w:rsidP="00AB117A">
      <w:pPr>
        <w:pStyle w:val="ParaLevel1"/>
      </w:pPr>
      <w:r>
        <w:t xml:space="preserve">As to </w:t>
      </w:r>
      <w:r w:rsidR="00EB3FF2">
        <w:t xml:space="preserve">Mr </w:t>
      </w:r>
      <w:proofErr w:type="spellStart"/>
      <w:r w:rsidR="00EB3FF2">
        <w:t>Hermer’s</w:t>
      </w:r>
      <w:proofErr w:type="spellEnd"/>
      <w:r>
        <w:t xml:space="preserve"> second </w:t>
      </w:r>
      <w:r w:rsidR="007E7CED">
        <w:t>quest</w:t>
      </w:r>
      <w:r>
        <w:t>ion, namely the effect, if any,</w:t>
      </w:r>
      <w:r w:rsidR="00327321">
        <w:t xml:space="preserve"> of the involvement of third parties,</w:t>
      </w:r>
      <w:r w:rsidR="004D68C3">
        <w:t xml:space="preserve"> he</w:t>
      </w:r>
      <w:r w:rsidR="00327321">
        <w:t xml:space="preserve"> said the judge had been wrong to say that </w:t>
      </w:r>
      <w:r w:rsidR="00953B44">
        <w:t>such</w:t>
      </w:r>
      <w:r w:rsidR="00327321">
        <w:t xml:space="preserve"> involvement could even arguably negate </w:t>
      </w:r>
      <w:r w:rsidR="004D68C3">
        <w:t>the</w:t>
      </w:r>
      <w:r w:rsidR="00327321">
        <w:t xml:space="preserve"> duty. He said that </w:t>
      </w:r>
      <w:r w:rsidR="00604AFA">
        <w:t xml:space="preserve">this </w:t>
      </w:r>
      <w:r w:rsidR="00327321">
        <w:t xml:space="preserve">was because neither </w:t>
      </w:r>
      <w:proofErr w:type="spellStart"/>
      <w:r w:rsidR="004D68C3">
        <w:t>Hsejar</w:t>
      </w:r>
      <w:proofErr w:type="spellEnd"/>
      <w:r w:rsidR="00327321">
        <w:t xml:space="preserve"> </w:t>
      </w:r>
      <w:r w:rsidR="00310A3D">
        <w:t xml:space="preserve">nor </w:t>
      </w:r>
      <w:r w:rsidR="00953B44">
        <w:t xml:space="preserve">the </w:t>
      </w:r>
      <w:r w:rsidR="00CF73AE">
        <w:t>Zuma</w:t>
      </w:r>
      <w:r w:rsidR="00953B44">
        <w:t xml:space="preserve"> Yard</w:t>
      </w:r>
      <w:r w:rsidR="00CF73AE">
        <w:t xml:space="preserve"> had</w:t>
      </w:r>
      <w:r w:rsidR="00310A3D">
        <w:t xml:space="preserve"> acted in any way other than anticipated. He said that they acted in the way determined by the </w:t>
      </w:r>
      <w:r w:rsidR="00950003">
        <w:t>Appellant</w:t>
      </w:r>
      <w:r w:rsidR="00310A3D">
        <w:t xml:space="preserve">’s </w:t>
      </w:r>
      <w:r w:rsidR="000A3A90">
        <w:t xml:space="preserve">original </w:t>
      </w:r>
      <w:r w:rsidR="00310A3D">
        <w:t xml:space="preserve">decision to sell to </w:t>
      </w:r>
      <w:proofErr w:type="spellStart"/>
      <w:r w:rsidR="00310A3D">
        <w:t>Hsejar</w:t>
      </w:r>
      <w:proofErr w:type="spellEnd"/>
      <w:r w:rsidR="00310A3D">
        <w:t>.</w:t>
      </w:r>
    </w:p>
    <w:p w14:paraId="581C66C5" w14:textId="1CEAD641" w:rsidR="00D000DE" w:rsidRDefault="00D000DE" w:rsidP="00AB117A">
      <w:pPr>
        <w:pStyle w:val="ParaLevel1"/>
      </w:pPr>
      <w:r>
        <w:t>I certainly accept that, on the assumption noted at paragraph</w:t>
      </w:r>
      <w:r w:rsidR="006066EF">
        <w:t xml:space="preserve"> </w:t>
      </w:r>
      <w:r w:rsidR="00217726">
        <w:t>3</w:t>
      </w:r>
      <w:r w:rsidR="00E9665A">
        <w:t>4</w:t>
      </w:r>
      <w:r w:rsidR="006066EF">
        <w:t xml:space="preserve"> above, the involvement of </w:t>
      </w:r>
      <w:proofErr w:type="spellStart"/>
      <w:r w:rsidR="006066EF">
        <w:t>Hsejar</w:t>
      </w:r>
      <w:proofErr w:type="spellEnd"/>
      <w:r w:rsidR="006066EF">
        <w:t xml:space="preserve"> would not negate the duty. </w:t>
      </w:r>
      <w:r w:rsidR="00741F70">
        <w:t xml:space="preserve">The issue turns on the involvement of </w:t>
      </w:r>
      <w:r w:rsidR="000E7FB0">
        <w:t xml:space="preserve">the </w:t>
      </w:r>
      <w:r w:rsidR="00741F70">
        <w:t>Zuma</w:t>
      </w:r>
      <w:r w:rsidR="000E7FB0">
        <w:t xml:space="preserve"> Yard</w:t>
      </w:r>
      <w:r w:rsidR="00741F70">
        <w:t>.</w:t>
      </w:r>
    </w:p>
    <w:p w14:paraId="0BAD96C6" w14:textId="7A88CFC0" w:rsidR="00585EAE" w:rsidRDefault="00585EAE" w:rsidP="00AB117A">
      <w:pPr>
        <w:pStyle w:val="ParaLevel1"/>
      </w:pPr>
      <w:r>
        <w:t>In reliance on the proposition that the existence of a duty could not be e</w:t>
      </w:r>
      <w:r w:rsidR="006A3159">
        <w:t>x</w:t>
      </w:r>
      <w:r>
        <w:t>tinguished by the involvement</w:t>
      </w:r>
      <w:r w:rsidR="006A3159">
        <w:t xml:space="preserve"> of third parties, if those third parties acted in the way that was or could be anticipated, Mr </w:t>
      </w:r>
      <w:proofErr w:type="spellStart"/>
      <w:r w:rsidR="006A3159">
        <w:t>Hermer</w:t>
      </w:r>
      <w:proofErr w:type="spellEnd"/>
      <w:r w:rsidR="006A3159">
        <w:t xml:space="preserve"> relied on the well-known decision of the House of Lords in </w:t>
      </w:r>
      <w:r w:rsidR="006A3159">
        <w:rPr>
          <w:i/>
        </w:rPr>
        <w:t xml:space="preserve">Home Office v Dorset Yacht Co Limited </w:t>
      </w:r>
      <w:r w:rsidR="00995EF5">
        <w:t>[1970] AC 1004</w:t>
      </w:r>
      <w:r w:rsidR="00113FBD">
        <w:t>, and</w:t>
      </w:r>
      <w:r w:rsidR="00995EF5">
        <w:t xml:space="preserve"> the following passage from Lord Re</w:t>
      </w:r>
      <w:r w:rsidR="007779F6">
        <w:t>i</w:t>
      </w:r>
      <w:r w:rsidR="00995EF5">
        <w:t>d’s speech:</w:t>
      </w:r>
    </w:p>
    <w:p w14:paraId="4C019C48" w14:textId="4D4DC498" w:rsidR="0067697A" w:rsidRPr="00935FF5" w:rsidRDefault="0067697A" w:rsidP="00AB117A">
      <w:pPr>
        <w:pStyle w:val="ParaLevel1"/>
        <w:numPr>
          <w:ilvl w:val="0"/>
          <w:numId w:val="0"/>
        </w:numPr>
        <w:ind w:left="1418" w:right="851"/>
      </w:pPr>
      <w:r w:rsidRPr="00935FF5">
        <w:t>“These cases sh</w:t>
      </w:r>
      <w:r w:rsidR="000A3A90">
        <w:t>o</w:t>
      </w:r>
      <w:r w:rsidRPr="00935FF5">
        <w:t>w that, where human action forms one of the links between</w:t>
      </w:r>
      <w:r w:rsidR="004015D8">
        <w:t xml:space="preserve"> </w:t>
      </w:r>
      <w:r w:rsidRPr="00935FF5">
        <w:t>the original wrongdoing of the defendant and the loss suffered by the plaintiff,</w:t>
      </w:r>
      <w:r w:rsidR="004015D8">
        <w:t xml:space="preserve"> </w:t>
      </w:r>
      <w:r w:rsidRPr="00935FF5">
        <w:t>that action must at least have been something very likely to happen if it is</w:t>
      </w:r>
      <w:r w:rsidR="004015D8">
        <w:t xml:space="preserve"> </w:t>
      </w:r>
      <w:r w:rsidRPr="00935FF5">
        <w:t>not to be regarded as </w:t>
      </w:r>
      <w:proofErr w:type="spellStart"/>
      <w:r w:rsidRPr="00935FF5">
        <w:rPr>
          <w:i/>
          <w:iCs/>
        </w:rPr>
        <w:t>novus</w:t>
      </w:r>
      <w:proofErr w:type="spellEnd"/>
      <w:r w:rsidRPr="00935FF5">
        <w:rPr>
          <w:i/>
          <w:iCs/>
        </w:rPr>
        <w:t xml:space="preserve"> actus interveniens </w:t>
      </w:r>
      <w:r w:rsidRPr="00935FF5">
        <w:t>breaking the chain of causation.</w:t>
      </w:r>
      <w:r w:rsidRPr="00935FF5">
        <w:br/>
        <w:t>I do not think that a mere foreseeable possibility is or should be sufficient,</w:t>
      </w:r>
      <w:r w:rsidR="004015D8">
        <w:t xml:space="preserve"> </w:t>
      </w:r>
      <w:r w:rsidRPr="00935FF5">
        <w:t>for then the intervening human action can more properly be regarded as a</w:t>
      </w:r>
      <w:r w:rsidR="004015D8">
        <w:t xml:space="preserve"> </w:t>
      </w:r>
      <w:r w:rsidRPr="00935FF5">
        <w:t>new cause than as a consequence of the original wrongdoing. But if the</w:t>
      </w:r>
      <w:r w:rsidR="004015D8">
        <w:t xml:space="preserve"> </w:t>
      </w:r>
      <w:r w:rsidRPr="00935FF5">
        <w:t>intervening action was likely to happen I do not think it can matter whether</w:t>
      </w:r>
      <w:r w:rsidR="004015D8">
        <w:t xml:space="preserve"> </w:t>
      </w:r>
      <w:r w:rsidRPr="00935FF5">
        <w:t>that action was innocent or tortious or criminal. Unfortunately tortious or</w:t>
      </w:r>
      <w:r w:rsidR="004015D8">
        <w:t xml:space="preserve"> </w:t>
      </w:r>
      <w:r w:rsidRPr="00935FF5">
        <w:t>criminal action by a third party is often the " very kind of thing</w:t>
      </w:r>
      <w:r w:rsidR="00270D64">
        <w:t xml:space="preserve">” </w:t>
      </w:r>
      <w:r w:rsidRPr="00935FF5">
        <w:t>which is</w:t>
      </w:r>
      <w:r w:rsidR="004015D8">
        <w:t xml:space="preserve"> </w:t>
      </w:r>
      <w:r w:rsidRPr="00935FF5">
        <w:t>likely to happen as a result of the wrongful or careless act of the defendant.</w:t>
      </w:r>
      <w:r w:rsidR="004015D8">
        <w:t xml:space="preserve"> </w:t>
      </w:r>
      <w:r w:rsidRPr="00935FF5">
        <w:t>And in the present case, on the facts which we must assume at this stage,</w:t>
      </w:r>
      <w:r w:rsidR="004015D8">
        <w:t xml:space="preserve"> </w:t>
      </w:r>
      <w:r w:rsidRPr="00935FF5">
        <w:t xml:space="preserve">I think that the taking </w:t>
      </w:r>
      <w:r w:rsidRPr="00935FF5">
        <w:lastRenderedPageBreak/>
        <w:t>of a boat by the escaping trainees and their unskilful</w:t>
      </w:r>
      <w:r w:rsidR="004015D8">
        <w:t xml:space="preserve"> </w:t>
      </w:r>
      <w:r w:rsidRPr="00935FF5">
        <w:t>navigation leading to damage to another vessel were the very kind of thing</w:t>
      </w:r>
      <w:r w:rsidR="004015D8">
        <w:t xml:space="preserve"> </w:t>
      </w:r>
      <w:r w:rsidRPr="00935FF5">
        <w:t>that these Borstal officers ought to have seen to be likely.”</w:t>
      </w:r>
    </w:p>
    <w:p w14:paraId="51871726" w14:textId="042F994A" w:rsidR="00BC2451" w:rsidRDefault="00E07D9F" w:rsidP="00AB117A">
      <w:pPr>
        <w:pStyle w:val="ParaLevel1"/>
      </w:pPr>
      <w:r>
        <w:t>I</w:t>
      </w:r>
      <w:r w:rsidR="00727B5C">
        <w:t>t seems to me t</w:t>
      </w:r>
      <w:r w:rsidR="00816546">
        <w:t>hat</w:t>
      </w:r>
      <w:r w:rsidR="000A3CAA">
        <w:t xml:space="preserve"> </w:t>
      </w:r>
      <w:r>
        <w:t>this passage is</w:t>
      </w:r>
      <w:r w:rsidR="000A3CAA">
        <w:t xml:space="preserve"> more concerned with</w:t>
      </w:r>
      <w:r w:rsidR="00727B5C">
        <w:t xml:space="preserve"> </w:t>
      </w:r>
      <w:r w:rsidR="00BC2451">
        <w:t>f</w:t>
      </w:r>
      <w:r w:rsidR="00727B5C">
        <w:t>ore</w:t>
      </w:r>
      <w:r w:rsidR="00BC2451">
        <w:t>s</w:t>
      </w:r>
      <w:r w:rsidR="00727B5C">
        <w:t>eeabili</w:t>
      </w:r>
      <w:r w:rsidR="00666690">
        <w:t>ty</w:t>
      </w:r>
      <w:r w:rsidR="000A3CAA">
        <w:t xml:space="preserve"> than proximity</w:t>
      </w:r>
      <w:r w:rsidR="00374C0B">
        <w:t>.</w:t>
      </w:r>
      <w:r w:rsidR="00666690">
        <w:t xml:space="preserve"> Mr </w:t>
      </w:r>
      <w:proofErr w:type="spellStart"/>
      <w:r w:rsidR="00666690">
        <w:t>Hermer</w:t>
      </w:r>
      <w:proofErr w:type="spellEnd"/>
      <w:r w:rsidR="00666690">
        <w:t xml:space="preserve"> used </w:t>
      </w:r>
      <w:r w:rsidR="00347C53">
        <w:t>other</w:t>
      </w:r>
      <w:r w:rsidR="00E86927">
        <w:t xml:space="preserve"> word</w:t>
      </w:r>
      <w:r w:rsidR="00347C53">
        <w:t>s</w:t>
      </w:r>
      <w:r w:rsidR="008D7474">
        <w:t xml:space="preserve"> to try </w:t>
      </w:r>
      <w:r w:rsidR="00286B55">
        <w:t>to</w:t>
      </w:r>
      <w:r w:rsidR="008D7474">
        <w:t xml:space="preserve"> colour </w:t>
      </w:r>
      <w:r w:rsidR="006B4FAB">
        <w:t xml:space="preserve">the </w:t>
      </w:r>
      <w:r w:rsidR="00375B4F">
        <w:t xml:space="preserve">degree of </w:t>
      </w:r>
      <w:r w:rsidR="006B4FAB">
        <w:t>foreseeability</w:t>
      </w:r>
      <w:r>
        <w:t xml:space="preserve"> in this case</w:t>
      </w:r>
      <w:r w:rsidR="00347C53">
        <w:t>, such as</w:t>
      </w:r>
      <w:r w:rsidR="00E86927">
        <w:t xml:space="preserve"> “anticipated” </w:t>
      </w:r>
      <w:r w:rsidR="00347C53">
        <w:t xml:space="preserve">and </w:t>
      </w:r>
      <w:r w:rsidR="006B4FAB">
        <w:t xml:space="preserve">even </w:t>
      </w:r>
      <w:r w:rsidR="00347C53">
        <w:t xml:space="preserve">“preordained”, </w:t>
      </w:r>
      <w:r w:rsidR="00E86927">
        <w:t>bu</w:t>
      </w:r>
      <w:r w:rsidR="00347C53">
        <w:t>t</w:t>
      </w:r>
      <w:r w:rsidR="00E86927">
        <w:t xml:space="preserve"> in legal terms, </w:t>
      </w:r>
      <w:r w:rsidR="00347C53">
        <w:t xml:space="preserve">as the judge pointed out at </w:t>
      </w:r>
      <w:r w:rsidR="008D7474">
        <w:t xml:space="preserve">[48], they still only </w:t>
      </w:r>
      <w:r w:rsidR="00E86927">
        <w:t>mean “foreseen”.</w:t>
      </w:r>
    </w:p>
    <w:p w14:paraId="62059A16" w14:textId="1E971A36" w:rsidR="00160D65" w:rsidRDefault="004A2BC9" w:rsidP="00AB117A">
      <w:pPr>
        <w:pStyle w:val="ParaLevel1"/>
      </w:pPr>
      <w:r>
        <w:t>As to proximity</w:t>
      </w:r>
      <w:r w:rsidR="00D11125">
        <w:t xml:space="preserve">, I am not persuaded that </w:t>
      </w:r>
      <w:r w:rsidR="00D11125" w:rsidRPr="00D11125">
        <w:rPr>
          <w:i/>
        </w:rPr>
        <w:t>Dorset Yacht</w:t>
      </w:r>
      <w:r w:rsidR="00D11125">
        <w:t xml:space="preserve"> is of very much assistance</w:t>
      </w:r>
      <w:r w:rsidR="003E34A8">
        <w:t xml:space="preserve"> </w:t>
      </w:r>
      <w:r w:rsidR="006B4FAB">
        <w:t>in</w:t>
      </w:r>
      <w:r w:rsidR="003E34A8">
        <w:t xml:space="preserve"> the present case</w:t>
      </w:r>
      <w:r w:rsidR="00D11125">
        <w:t xml:space="preserve">. There, as Mr Bright rightly pointed out, the basis for the finding of liability against the Home Office was that the Borstal trainees who caused the damage </w:t>
      </w:r>
      <w:r w:rsidR="00760B53">
        <w:t xml:space="preserve">were </w:t>
      </w:r>
      <w:r w:rsidR="00D11125">
        <w:t xml:space="preserve">“under the supervision and control of three Borstal officers”. It was that </w:t>
      </w:r>
      <w:r w:rsidR="00531DAA">
        <w:t xml:space="preserve">significant </w:t>
      </w:r>
      <w:r w:rsidR="00D11125">
        <w:t>element of supervis</w:t>
      </w:r>
      <w:r w:rsidR="00F20D9B">
        <w:t>i</w:t>
      </w:r>
      <w:r w:rsidR="00D11125">
        <w:t xml:space="preserve">on </w:t>
      </w:r>
      <w:r w:rsidR="008A3F81">
        <w:t>and</w:t>
      </w:r>
      <w:r w:rsidR="00D11125">
        <w:t xml:space="preserve"> control of the t</w:t>
      </w:r>
      <w:r w:rsidR="008A3F81">
        <w:t>hird parties</w:t>
      </w:r>
      <w:r w:rsidR="00F20D9B">
        <w:t xml:space="preserve"> which gave rise to the </w:t>
      </w:r>
      <w:r w:rsidR="00282302">
        <w:t xml:space="preserve">finding of </w:t>
      </w:r>
      <w:r w:rsidR="00F20D9B">
        <w:t>liability</w:t>
      </w:r>
      <w:r w:rsidR="00282302">
        <w:t xml:space="preserve"> on the part of the Home Office</w:t>
      </w:r>
      <w:r w:rsidR="00F20D9B">
        <w:t>.</w:t>
      </w:r>
    </w:p>
    <w:p w14:paraId="0DF5D6B8" w14:textId="3F89BF10" w:rsidR="006E34A3" w:rsidRDefault="00160D65" w:rsidP="00AB117A">
      <w:pPr>
        <w:pStyle w:val="ParaLevel1"/>
      </w:pPr>
      <w:r>
        <w:t xml:space="preserve">For these reasons, notwithstanding the factual assumptions set out in </w:t>
      </w:r>
      <w:r w:rsidR="00BC05DF">
        <w:t>S</w:t>
      </w:r>
      <w:r>
        <w:t>ection 5</w:t>
      </w:r>
      <w:r w:rsidR="00C64344">
        <w:t xml:space="preserve"> above</w:t>
      </w:r>
      <w:r>
        <w:t xml:space="preserve">, </w:t>
      </w:r>
      <w:r w:rsidR="006E3DD2">
        <w:t xml:space="preserve">I am </w:t>
      </w:r>
      <w:r w:rsidR="00270D64">
        <w:t>doubtful whether</w:t>
      </w:r>
      <w:r w:rsidR="006E3DD2">
        <w:t xml:space="preserve">, at trial, a court would follow Mr </w:t>
      </w:r>
      <w:proofErr w:type="spellStart"/>
      <w:r w:rsidR="006E3DD2">
        <w:t>Hermer</w:t>
      </w:r>
      <w:proofErr w:type="spellEnd"/>
      <w:r w:rsidR="006E3DD2">
        <w:t xml:space="preserve"> down route 1 </w:t>
      </w:r>
      <w:r w:rsidR="00CC76D7">
        <w:t>to</w:t>
      </w:r>
      <w:r w:rsidR="006E3DD2">
        <w:t xml:space="preserve"> reach </w:t>
      </w:r>
      <w:r w:rsidR="000A42AE">
        <w:t>his intended</w:t>
      </w:r>
      <w:r w:rsidR="006E3DD2">
        <w:t xml:space="preserve"> destination</w:t>
      </w:r>
      <w:r w:rsidR="000A42AE">
        <w:t>, namely the finding</w:t>
      </w:r>
      <w:r w:rsidR="006E3DD2">
        <w:t xml:space="preserve"> of a duty of care</w:t>
      </w:r>
      <w:r w:rsidR="007F52E5">
        <w:t xml:space="preserve"> </w:t>
      </w:r>
      <w:r w:rsidR="00B70CDC">
        <w:t xml:space="preserve">in the present case </w:t>
      </w:r>
      <w:r w:rsidR="007F52E5">
        <w:t xml:space="preserve">on </w:t>
      </w:r>
      <w:r w:rsidR="007F52E5" w:rsidRPr="006E34A3">
        <w:rPr>
          <w:i/>
          <w:iCs/>
        </w:rPr>
        <w:t>Don</w:t>
      </w:r>
      <w:r w:rsidR="00313CB8">
        <w:rPr>
          <w:i/>
          <w:iCs/>
        </w:rPr>
        <w:t>o</w:t>
      </w:r>
      <w:r w:rsidR="007F52E5" w:rsidRPr="006E34A3">
        <w:rPr>
          <w:i/>
          <w:iCs/>
        </w:rPr>
        <w:t>ghue v Stevenson</w:t>
      </w:r>
      <w:r w:rsidR="007F52E5">
        <w:t xml:space="preserve"> principles. </w:t>
      </w:r>
      <w:r w:rsidR="006E3DD2">
        <w:t xml:space="preserve"> </w:t>
      </w:r>
      <w:r w:rsidR="002810D7">
        <w:t>I am inclined to agree with the judge’s conclusion at [</w:t>
      </w:r>
      <w:r w:rsidR="00694D46">
        <w:t>37]</w:t>
      </w:r>
      <w:r w:rsidR="000506D7">
        <w:t xml:space="preserve"> that this case “does not fit comfortably” within such principles.</w:t>
      </w:r>
    </w:p>
    <w:p w14:paraId="2B42CB1A" w14:textId="0FB48C23" w:rsidR="00AD34BF" w:rsidRDefault="004F10C7" w:rsidP="00AB117A">
      <w:pPr>
        <w:pStyle w:val="ParaLevel1"/>
      </w:pPr>
      <w:r>
        <w:t>B</w:t>
      </w:r>
      <w:r w:rsidR="006163D0">
        <w:t xml:space="preserve">ut this is not the trial: it is an interim application for summary judgment by the </w:t>
      </w:r>
      <w:r w:rsidR="00950003">
        <w:t>Appellant</w:t>
      </w:r>
      <w:r w:rsidR="006163D0">
        <w:t xml:space="preserve">. </w:t>
      </w:r>
      <w:r w:rsidR="00372A72">
        <w:t xml:space="preserve">And although neither of them </w:t>
      </w:r>
      <w:r w:rsidR="00313CB8">
        <w:t>is</w:t>
      </w:r>
      <w:r w:rsidR="00372A72">
        <w:t xml:space="preserve"> straightforward, </w:t>
      </w:r>
      <w:r w:rsidR="00E66135">
        <w:t xml:space="preserve">can it </w:t>
      </w:r>
      <w:r w:rsidR="003D0D4B">
        <w:t>proper</w:t>
      </w:r>
      <w:r w:rsidR="00E66135">
        <w:t>ly</w:t>
      </w:r>
      <w:r w:rsidR="00372A72">
        <w:t xml:space="preserve"> be said that </w:t>
      </w:r>
      <w:r w:rsidR="008D30DA">
        <w:t xml:space="preserve">Mr </w:t>
      </w:r>
      <w:proofErr w:type="spellStart"/>
      <w:r w:rsidR="008D30DA">
        <w:t>Hermer’s</w:t>
      </w:r>
      <w:proofErr w:type="spellEnd"/>
      <w:r w:rsidR="008D30DA">
        <w:t xml:space="preserve"> </w:t>
      </w:r>
      <w:r w:rsidR="003F159E">
        <w:t>answers to his two questions</w:t>
      </w:r>
      <w:r w:rsidR="008D30DA">
        <w:t xml:space="preserve"> are so </w:t>
      </w:r>
      <w:r w:rsidR="00DA1B52">
        <w:t>fanciful</w:t>
      </w:r>
      <w:r w:rsidR="008D30DA">
        <w:t xml:space="preserve">, so unconnected to the </w:t>
      </w:r>
      <w:r w:rsidR="00D7708A">
        <w:t xml:space="preserve">recent </w:t>
      </w:r>
      <w:r w:rsidR="008D30DA">
        <w:t>development</w:t>
      </w:r>
      <w:r w:rsidR="00F62DC1">
        <w:t>s in</w:t>
      </w:r>
      <w:r w:rsidR="008D30DA">
        <w:t xml:space="preserve"> the law of negligence, that the claim should not be permitted to proceed</w:t>
      </w:r>
      <w:r w:rsidR="00F62DC1">
        <w:t xml:space="preserve"> to trial</w:t>
      </w:r>
      <w:r w:rsidR="009D3B8F">
        <w:t xml:space="preserve">? </w:t>
      </w:r>
      <w:r w:rsidR="00EE2018">
        <w:t>I do not think that it can. This way of putting the case</w:t>
      </w:r>
      <w:r w:rsidR="004A2A19">
        <w:t xml:space="preserve"> </w:t>
      </w:r>
      <w:r w:rsidR="007E5B30">
        <w:t xml:space="preserve">may </w:t>
      </w:r>
      <w:r w:rsidR="007D10AC">
        <w:t xml:space="preserve">not be straightforward, may even be </w:t>
      </w:r>
      <w:r w:rsidR="001D6A75">
        <w:t>unlikely to succe</w:t>
      </w:r>
      <w:r w:rsidR="00AE55F4">
        <w:t>ed at trial. But</w:t>
      </w:r>
      <w:r w:rsidR="005C3CDE">
        <w:t>, like the judge,</w:t>
      </w:r>
      <w:r w:rsidR="00AE55F4">
        <w:t xml:space="preserve"> I cannot conclude that it is so fanciful that it should be struck out. Moreover</w:t>
      </w:r>
      <w:r w:rsidR="005C3CDE">
        <w:t>, again like the judge, my</w:t>
      </w:r>
      <w:r w:rsidR="00AE55F4">
        <w:t xml:space="preserve"> conclusion </w:t>
      </w:r>
      <w:r w:rsidR="00220BFF">
        <w:t xml:space="preserve">to that effect </w:t>
      </w:r>
      <w:r w:rsidR="00AE55F4">
        <w:t xml:space="preserve">is strengthened </w:t>
      </w:r>
      <w:r w:rsidR="005C3CDE">
        <w:t>by a consideration</w:t>
      </w:r>
      <w:r w:rsidR="00AE55F4">
        <w:t xml:space="preserve"> of Mr </w:t>
      </w:r>
      <w:proofErr w:type="spellStart"/>
      <w:r w:rsidR="00AE55F4">
        <w:t>Hermer’s</w:t>
      </w:r>
      <w:proofErr w:type="spellEnd"/>
      <w:r w:rsidR="00AE55F4">
        <w:t xml:space="preserve"> route 2.</w:t>
      </w:r>
    </w:p>
    <w:p w14:paraId="662B7299" w14:textId="1313B618" w:rsidR="00BF1BB7" w:rsidRPr="00BF1BB7" w:rsidRDefault="00BF1BB7" w:rsidP="00AB117A">
      <w:pPr>
        <w:pStyle w:val="ParaLevel1"/>
        <w:numPr>
          <w:ilvl w:val="0"/>
          <w:numId w:val="0"/>
        </w:numPr>
        <w:rPr>
          <w:b/>
          <w:u w:val="single"/>
        </w:rPr>
      </w:pPr>
      <w:r>
        <w:rPr>
          <w:b/>
          <w:u w:val="single"/>
        </w:rPr>
        <w:t>7 DUTY OF CARE: ROUTE 2</w:t>
      </w:r>
    </w:p>
    <w:p w14:paraId="7C7A8B19" w14:textId="24713768" w:rsidR="002E19BD" w:rsidRDefault="00080E51" w:rsidP="00AB117A">
      <w:pPr>
        <w:pStyle w:val="ParaLevel1"/>
      </w:pPr>
      <w:r>
        <w:t xml:space="preserve">Mr </w:t>
      </w:r>
      <w:proofErr w:type="spellStart"/>
      <w:r>
        <w:t>Hermer’s</w:t>
      </w:r>
      <w:proofErr w:type="spellEnd"/>
      <w:r>
        <w:t xml:space="preserve"> route </w:t>
      </w:r>
      <w:r w:rsidR="00DC31AF">
        <w:t xml:space="preserve">2 </w:t>
      </w:r>
      <w:r>
        <w:t>accept</w:t>
      </w:r>
      <w:r w:rsidR="00BF1BB7">
        <w:t>s</w:t>
      </w:r>
      <w:r>
        <w:t xml:space="preserve"> the proposition that the involvement of</w:t>
      </w:r>
      <w:r w:rsidR="00680599">
        <w:t xml:space="preserve"> the</w:t>
      </w:r>
      <w:r>
        <w:t xml:space="preserve"> Zuma</w:t>
      </w:r>
      <w:r w:rsidR="00FD52A4">
        <w:t xml:space="preserve"> </w:t>
      </w:r>
      <w:r w:rsidR="00680599">
        <w:t xml:space="preserve">Yard </w:t>
      </w:r>
      <w:r w:rsidR="00FD52A4">
        <w:t>may defeat the e</w:t>
      </w:r>
      <w:r w:rsidR="00CE0853">
        <w:t xml:space="preserve">xistence of a standard </w:t>
      </w:r>
      <w:r w:rsidR="00CE0853" w:rsidRPr="003A1F07">
        <w:rPr>
          <w:i/>
        </w:rPr>
        <w:t>Donoghue v Stevenson</w:t>
      </w:r>
      <w:r w:rsidR="00CE0853">
        <w:t xml:space="preserve"> duty.</w:t>
      </w:r>
      <w:r w:rsidR="001E2318">
        <w:t xml:space="preserve"> </w:t>
      </w:r>
      <w:r w:rsidR="00217726">
        <w:t>His</w:t>
      </w:r>
      <w:r w:rsidR="001E2318">
        <w:t xml:space="preserve"> argument is that this case falls into one of the recognised exceptions to the usual rule that A</w:t>
      </w:r>
      <w:r w:rsidR="00441F5D">
        <w:t xml:space="preserve"> will not be liable for harm done to C caused by a third party B</w:t>
      </w:r>
      <w:r w:rsidR="00AC4153">
        <w:t xml:space="preserve"> (the </w:t>
      </w:r>
      <w:r w:rsidR="0007006C">
        <w:t xml:space="preserve">rule that there is </w:t>
      </w:r>
      <w:r w:rsidR="00D214FA">
        <w:t xml:space="preserve">generally </w:t>
      </w:r>
      <w:r w:rsidR="00816874">
        <w:t xml:space="preserve">no liability </w:t>
      </w:r>
      <w:r w:rsidR="00226F21">
        <w:t xml:space="preserve">in tort </w:t>
      </w:r>
      <w:r w:rsidR="00816874">
        <w:t xml:space="preserve">for the </w:t>
      </w:r>
      <w:r w:rsidR="00226F21">
        <w:t xml:space="preserve">harm caused by the </w:t>
      </w:r>
      <w:r w:rsidR="00816874">
        <w:t>intervention of third parties)</w:t>
      </w:r>
      <w:r w:rsidR="00441F5D">
        <w:t xml:space="preserve">. The exception arises where A </w:t>
      </w:r>
      <w:r w:rsidR="003905F6">
        <w:t>is responsible</w:t>
      </w:r>
      <w:r w:rsidR="0004662C">
        <w:t xml:space="preserve"> for</w:t>
      </w:r>
      <w:r w:rsidR="00BC5EF3">
        <w:t xml:space="preserve"> or has created</w:t>
      </w:r>
      <w:r w:rsidR="00441F5D">
        <w:t xml:space="preserve"> the danger which B has then exploited</w:t>
      </w:r>
      <w:r w:rsidR="007330B4">
        <w:t xml:space="preserve"> </w:t>
      </w:r>
      <w:r w:rsidR="00BC5EF3">
        <w:t>and that has</w:t>
      </w:r>
      <w:r w:rsidR="007330B4">
        <w:t xml:space="preserve"> cause</w:t>
      </w:r>
      <w:r w:rsidR="00BC5EF3">
        <w:t>d</w:t>
      </w:r>
      <w:r w:rsidR="007330B4">
        <w:t xml:space="preserve"> harm to C</w:t>
      </w:r>
      <w:r w:rsidR="00441F5D">
        <w:t>.</w:t>
      </w:r>
    </w:p>
    <w:p w14:paraId="263D889C" w14:textId="5548755B" w:rsidR="00BF1BB7" w:rsidRDefault="00250FB1" w:rsidP="00AB117A">
      <w:pPr>
        <w:pStyle w:val="ParaLevel1"/>
      </w:pPr>
      <w:r>
        <w:t>I</w:t>
      </w:r>
      <w:r w:rsidR="004F43A9">
        <w:t xml:space="preserve"> should say at the outset that I do not accept Mr Bright’s submission that, in some way, the judge invented his own exception to the </w:t>
      </w:r>
      <w:r w:rsidR="00D214FA">
        <w:t>general</w:t>
      </w:r>
      <w:r w:rsidR="004F43A9">
        <w:t xml:space="preserve"> rule</w:t>
      </w:r>
      <w:r w:rsidR="00FA691C">
        <w:t xml:space="preserve"> that </w:t>
      </w:r>
      <w:r w:rsidR="00D214FA">
        <w:t xml:space="preserve">there is no liability </w:t>
      </w:r>
      <w:r w:rsidR="00226F21">
        <w:t xml:space="preserve">in tort </w:t>
      </w:r>
      <w:r w:rsidR="00760E33">
        <w:t xml:space="preserve">for the </w:t>
      </w:r>
      <w:r w:rsidR="00226F21">
        <w:t xml:space="preserve">harm </w:t>
      </w:r>
      <w:r w:rsidR="00C74982">
        <w:t xml:space="preserve">caused by the </w:t>
      </w:r>
      <w:r w:rsidR="00760E33">
        <w:t>intervention of third parties</w:t>
      </w:r>
      <w:r w:rsidR="004F43A9">
        <w:t xml:space="preserve">. </w:t>
      </w:r>
      <w:r w:rsidR="00846977">
        <w:t xml:space="preserve">One only has to look at </w:t>
      </w:r>
      <w:r w:rsidR="00846977">
        <w:rPr>
          <w:i/>
        </w:rPr>
        <w:t>Clerk and Lindsell on Torts</w:t>
      </w:r>
      <w:r w:rsidR="005476C1">
        <w:rPr>
          <w:i/>
        </w:rPr>
        <w:t xml:space="preserve">, </w:t>
      </w:r>
      <w:r w:rsidR="005476C1">
        <w:t>23</w:t>
      </w:r>
      <w:r w:rsidR="005476C1" w:rsidRPr="005476C1">
        <w:rPr>
          <w:vertAlign w:val="superscript"/>
        </w:rPr>
        <w:t>rd</w:t>
      </w:r>
      <w:r w:rsidR="005476C1">
        <w:t xml:space="preserve"> edition</w:t>
      </w:r>
      <w:r w:rsidR="00D32688">
        <w:t>,</w:t>
      </w:r>
      <w:r w:rsidR="005476C1">
        <w:t xml:space="preserve"> at para 7</w:t>
      </w:r>
      <w:r w:rsidR="00D32688">
        <w:t>-</w:t>
      </w:r>
      <w:r w:rsidR="005476C1">
        <w:t xml:space="preserve">60 to see that </w:t>
      </w:r>
      <w:r w:rsidR="00937E26">
        <w:t>one</w:t>
      </w:r>
      <w:r w:rsidR="00EA622E">
        <w:t xml:space="preserve"> exception to the </w:t>
      </w:r>
      <w:r w:rsidR="007A7251">
        <w:t>genera</w:t>
      </w:r>
      <w:r w:rsidR="00EA622E">
        <w:t xml:space="preserve">l rule </w:t>
      </w:r>
      <w:r w:rsidR="00B95EA0">
        <w:t xml:space="preserve">is said to </w:t>
      </w:r>
      <w:r w:rsidR="00EA622E">
        <w:t xml:space="preserve">occur “where the defendant is responsible for a state of danger which may </w:t>
      </w:r>
      <w:r w:rsidR="00D54FB7">
        <w:t>be exploited by a third party”. It was that exception</w:t>
      </w:r>
      <w:r w:rsidR="00CC0465">
        <w:t>,</w:t>
      </w:r>
      <w:r w:rsidR="00D54FB7">
        <w:t xml:space="preserve"> which the judge </w:t>
      </w:r>
      <w:r w:rsidR="00CC0465">
        <w:t xml:space="preserve">called the </w:t>
      </w:r>
      <w:r w:rsidR="00375F09">
        <w:t>‘</w:t>
      </w:r>
      <w:r w:rsidR="00CC0465">
        <w:t>creation of danger</w:t>
      </w:r>
      <w:r w:rsidR="00375F09">
        <w:t>’</w:t>
      </w:r>
      <w:r w:rsidR="00427989">
        <w:t xml:space="preserve"> exception</w:t>
      </w:r>
      <w:r w:rsidR="00CC0465">
        <w:t xml:space="preserve">, </w:t>
      </w:r>
      <w:r w:rsidR="00CE7B15">
        <w:t xml:space="preserve">which he </w:t>
      </w:r>
      <w:r w:rsidR="00D54FB7">
        <w:t xml:space="preserve">found </w:t>
      </w:r>
      <w:r w:rsidR="00CE7B15">
        <w:t>to be</w:t>
      </w:r>
      <w:r w:rsidR="00D54FB7">
        <w:t xml:space="preserve"> arguable. It is certainly right </w:t>
      </w:r>
      <w:r w:rsidR="00E37E97">
        <w:t>that the judge considered that some of the ingredients which, in other cases, have led to the finding of that exception</w:t>
      </w:r>
      <w:r w:rsidR="00017694">
        <w:t>,</w:t>
      </w:r>
      <w:r w:rsidR="00E37E97">
        <w:t xml:space="preserve"> did not exist in the present case</w:t>
      </w:r>
      <w:r w:rsidR="00017694">
        <w:t>. B</w:t>
      </w:r>
      <w:r w:rsidR="00E37E97">
        <w:t xml:space="preserve">ut that is a different point, concerned </w:t>
      </w:r>
      <w:r w:rsidR="00E37E97">
        <w:lastRenderedPageBreak/>
        <w:t>with the applicability of an existing exception</w:t>
      </w:r>
      <w:r w:rsidR="006C5AFC">
        <w:t xml:space="preserve"> to </w:t>
      </w:r>
      <w:r w:rsidR="00017694">
        <w:t>an</w:t>
      </w:r>
      <w:r w:rsidR="006C5AFC">
        <w:t xml:space="preserve"> individual case</w:t>
      </w:r>
      <w:r w:rsidR="00FA3CAC">
        <w:t>,</w:t>
      </w:r>
      <w:r w:rsidR="00E37E97">
        <w:t xml:space="preserve"> rather than the invention of an entirely new </w:t>
      </w:r>
      <w:r w:rsidR="00D7332C">
        <w:t>category or exception</w:t>
      </w:r>
      <w:r w:rsidR="00E37E97">
        <w:t>.</w:t>
      </w:r>
    </w:p>
    <w:p w14:paraId="30A5D320" w14:textId="026851D9" w:rsidR="0052602C" w:rsidRDefault="0052602C" w:rsidP="00AB117A">
      <w:pPr>
        <w:pStyle w:val="ParaLevel1"/>
      </w:pPr>
      <w:r>
        <w:t xml:space="preserve">The </w:t>
      </w:r>
      <w:r w:rsidR="005D4B30">
        <w:t xml:space="preserve">‘creation of danger’ </w:t>
      </w:r>
      <w:r>
        <w:t xml:space="preserve">exception can be traced back to </w:t>
      </w:r>
      <w:r>
        <w:rPr>
          <w:i/>
        </w:rPr>
        <w:t xml:space="preserve">Smith v Littlewoods </w:t>
      </w:r>
      <w:r>
        <w:t>where Lord Goff described the exception in these terms:</w:t>
      </w:r>
    </w:p>
    <w:p w14:paraId="30754D59" w14:textId="169FA3D8" w:rsidR="00447A62" w:rsidRDefault="009E70FF" w:rsidP="00AB117A">
      <w:pPr>
        <w:pStyle w:val="ParaLevel1"/>
        <w:numPr>
          <w:ilvl w:val="0"/>
          <w:numId w:val="0"/>
        </w:numPr>
        <w:ind w:left="1418" w:right="851"/>
      </w:pPr>
      <w:r>
        <w:t>“But there is a more general circumstance in which a defender may be held liable in negligence to the pursuer, although the immediate cause of the damage suffered by the pursuer is the d</w:t>
      </w:r>
      <w:r w:rsidR="00050741">
        <w:t>eliberate wrongdoing of another. This may occur where the defender negligently causes or permits to be created a source of danger, and it is reasonably foreseeable that third parties may interfere</w:t>
      </w:r>
      <w:r w:rsidR="005F520C">
        <w:t xml:space="preserve"> with it and, sparking of</w:t>
      </w:r>
      <w:r w:rsidR="00B72DBE">
        <w:t>f</w:t>
      </w:r>
      <w:r w:rsidR="005F520C">
        <w:t xml:space="preserve"> the danger, thereby cause damage to persons in the position of the pursuer.”</w:t>
      </w:r>
    </w:p>
    <w:p w14:paraId="52AF3DDB" w14:textId="0886C8FF" w:rsidR="00BF1BB7" w:rsidRDefault="00447A62" w:rsidP="00AB117A">
      <w:pPr>
        <w:pStyle w:val="ParaLevel1"/>
      </w:pPr>
      <w:r>
        <w:t xml:space="preserve">Although, as I have said, this exception is recognised at paragraph 7-60 of </w:t>
      </w:r>
      <w:r>
        <w:rPr>
          <w:i/>
        </w:rPr>
        <w:t>Clerk and Lindsell on Torts</w:t>
      </w:r>
      <w:r>
        <w:t xml:space="preserve">, </w:t>
      </w:r>
      <w:r w:rsidR="0021239A">
        <w:t xml:space="preserve">I note that </w:t>
      </w:r>
      <w:r>
        <w:t>many of the most important post-</w:t>
      </w:r>
      <w:r w:rsidRPr="00762905">
        <w:rPr>
          <w:i/>
        </w:rPr>
        <w:t>Smith</w:t>
      </w:r>
      <w:r>
        <w:t xml:space="preserve"> authorities are not referred to</w:t>
      </w:r>
      <w:r w:rsidR="00893CD9">
        <w:t xml:space="preserve"> in t</w:t>
      </w:r>
      <w:r w:rsidR="00BF1E87">
        <w:t>hat or subsequent paragraphs</w:t>
      </w:r>
      <w:r>
        <w:t>.</w:t>
      </w:r>
      <w:r w:rsidR="00893CD9">
        <w:t xml:space="preserve"> T</w:t>
      </w:r>
      <w:r w:rsidR="00E947C7">
        <w:t>hese</w:t>
      </w:r>
      <w:r w:rsidR="00377074">
        <w:t xml:space="preserve"> cases</w:t>
      </w:r>
      <w:r w:rsidR="00E947C7">
        <w:t xml:space="preserve"> </w:t>
      </w:r>
      <w:r w:rsidR="004B2915">
        <w:t xml:space="preserve">reflect a growing trend of claims </w:t>
      </w:r>
      <w:r w:rsidR="00377074">
        <w:t xml:space="preserve">in negligence </w:t>
      </w:r>
      <w:r w:rsidR="002B0A81">
        <w:t>where ther</w:t>
      </w:r>
      <w:r w:rsidR="00F80AA0">
        <w:t>e</w:t>
      </w:r>
      <w:r w:rsidR="002B0A81">
        <w:t xml:space="preserve"> has been an in</w:t>
      </w:r>
      <w:r w:rsidR="00F80AA0">
        <w:t>ter</w:t>
      </w:r>
      <w:r w:rsidR="002B0A81">
        <w:t>vention of some kind by</w:t>
      </w:r>
      <w:r w:rsidR="00F80AA0">
        <w:t xml:space="preserve"> a</w:t>
      </w:r>
      <w:r w:rsidR="004B53F6">
        <w:t xml:space="preserve"> third part</w:t>
      </w:r>
      <w:r w:rsidR="00F80AA0">
        <w:t>y</w:t>
      </w:r>
      <w:r w:rsidR="004B53F6">
        <w:t xml:space="preserve">, </w:t>
      </w:r>
      <w:r w:rsidR="00EE562E">
        <w:t xml:space="preserve">such as </w:t>
      </w:r>
      <w:r w:rsidR="004B53F6">
        <w:t xml:space="preserve">claims </w:t>
      </w:r>
      <w:r w:rsidR="004B2915">
        <w:t xml:space="preserve">against public bodies and local authorities </w:t>
      </w:r>
      <w:r w:rsidR="00573A1D">
        <w:t>based on</w:t>
      </w:r>
      <w:r w:rsidR="004B2915">
        <w:t xml:space="preserve"> the acts of </w:t>
      </w:r>
      <w:r w:rsidR="000157E6">
        <w:t>others</w:t>
      </w:r>
      <w:r w:rsidR="004B2915">
        <w:t xml:space="preserve">. They </w:t>
      </w:r>
      <w:r w:rsidR="00E947C7">
        <w:t xml:space="preserve">include </w:t>
      </w:r>
      <w:r w:rsidR="00E947C7" w:rsidRPr="00893CD9">
        <w:rPr>
          <w:i/>
        </w:rPr>
        <w:t xml:space="preserve">AG of the </w:t>
      </w:r>
      <w:proofErr w:type="spellStart"/>
      <w:r w:rsidR="00E947C7" w:rsidRPr="00893CD9">
        <w:rPr>
          <w:i/>
        </w:rPr>
        <w:t>BV</w:t>
      </w:r>
      <w:r w:rsidR="005E2B9B" w:rsidRPr="00893CD9">
        <w:rPr>
          <w:i/>
        </w:rPr>
        <w:t>I</w:t>
      </w:r>
      <w:proofErr w:type="spellEnd"/>
      <w:r w:rsidR="005E2B9B" w:rsidRPr="00893CD9">
        <w:rPr>
          <w:i/>
        </w:rPr>
        <w:t xml:space="preserve"> v Hartwell </w:t>
      </w:r>
      <w:r w:rsidR="005E2B9B">
        <w:t xml:space="preserve">[2004] </w:t>
      </w:r>
      <w:proofErr w:type="spellStart"/>
      <w:r w:rsidR="005E2B9B">
        <w:t>UKPC</w:t>
      </w:r>
      <w:proofErr w:type="spellEnd"/>
      <w:r w:rsidR="005E2B9B">
        <w:t xml:space="preserve"> 12, </w:t>
      </w:r>
      <w:r w:rsidR="005E2B9B" w:rsidRPr="00893CD9">
        <w:rPr>
          <w:i/>
        </w:rPr>
        <w:t>Mitchell and An</w:t>
      </w:r>
      <w:r w:rsidR="005C0054" w:rsidRPr="00893CD9">
        <w:rPr>
          <w:i/>
        </w:rPr>
        <w:t>other</w:t>
      </w:r>
      <w:r w:rsidR="005E2B9B" w:rsidRPr="00893CD9">
        <w:rPr>
          <w:i/>
        </w:rPr>
        <w:t xml:space="preserve"> v Glasgow City Council </w:t>
      </w:r>
      <w:r w:rsidR="005E2B9B">
        <w:t xml:space="preserve">[2009] </w:t>
      </w:r>
      <w:proofErr w:type="spellStart"/>
      <w:r w:rsidR="005E2B9B">
        <w:t>UKHL</w:t>
      </w:r>
      <w:proofErr w:type="spellEnd"/>
      <w:r w:rsidR="005E2B9B">
        <w:t xml:space="preserve"> 11</w:t>
      </w:r>
      <w:r w:rsidR="00FE4DDF">
        <w:t xml:space="preserve">; </w:t>
      </w:r>
      <w:r w:rsidR="00FE4DDF" w:rsidRPr="00893CD9">
        <w:rPr>
          <w:i/>
        </w:rPr>
        <w:t>Michael and An</w:t>
      </w:r>
      <w:r w:rsidR="00C546A6" w:rsidRPr="00893CD9">
        <w:rPr>
          <w:i/>
        </w:rPr>
        <w:t>other</w:t>
      </w:r>
      <w:r w:rsidR="00FE4DDF" w:rsidRPr="00893CD9">
        <w:rPr>
          <w:i/>
        </w:rPr>
        <w:t xml:space="preserve"> v Chief Constable of South Wales Police</w:t>
      </w:r>
      <w:r w:rsidR="00FE4DDF">
        <w:t xml:space="preserve"> [2015] </w:t>
      </w:r>
      <w:proofErr w:type="spellStart"/>
      <w:r w:rsidR="00FE4DDF">
        <w:t>UKSC</w:t>
      </w:r>
      <w:proofErr w:type="spellEnd"/>
      <w:r w:rsidR="00FE4DDF">
        <w:t xml:space="preserve"> 2</w:t>
      </w:r>
      <w:r w:rsidR="001870C0">
        <w:t>;</w:t>
      </w:r>
      <w:r w:rsidR="00056E32">
        <w:t xml:space="preserve"> </w:t>
      </w:r>
      <w:r w:rsidR="000A4E19">
        <w:t xml:space="preserve">and </w:t>
      </w:r>
      <w:r w:rsidR="00E37E97">
        <w:rPr>
          <w:i/>
        </w:rPr>
        <w:t>Robinson v Chief Constable of West Yorks</w:t>
      </w:r>
      <w:r w:rsidR="00A7062C">
        <w:rPr>
          <w:i/>
        </w:rPr>
        <w:t xml:space="preserve">hire Police </w:t>
      </w:r>
      <w:r w:rsidR="00A7062C">
        <w:t xml:space="preserve">[2018] </w:t>
      </w:r>
      <w:proofErr w:type="spellStart"/>
      <w:r w:rsidR="00A7062C">
        <w:t>UKSC</w:t>
      </w:r>
      <w:proofErr w:type="spellEnd"/>
      <w:r w:rsidR="00A7062C">
        <w:t xml:space="preserve"> 4; [2018] AC 736. This line of authority</w:t>
      </w:r>
      <w:r w:rsidR="00312414">
        <w:t xml:space="preserve"> currently terminates </w:t>
      </w:r>
      <w:r w:rsidR="00056E32">
        <w:t xml:space="preserve">in the </w:t>
      </w:r>
      <w:r w:rsidR="005C0054">
        <w:t xml:space="preserve">Supreme Court judgment in </w:t>
      </w:r>
      <w:r w:rsidR="005C0054" w:rsidRPr="00893CD9">
        <w:rPr>
          <w:i/>
        </w:rPr>
        <w:t xml:space="preserve">Poole Borough Council v G N and Another </w:t>
      </w:r>
      <w:r w:rsidR="005C0054">
        <w:t xml:space="preserve">[2019] </w:t>
      </w:r>
      <w:proofErr w:type="spellStart"/>
      <w:r w:rsidR="005C0054">
        <w:t>UKSC</w:t>
      </w:r>
      <w:proofErr w:type="spellEnd"/>
      <w:r w:rsidR="005C0054">
        <w:t xml:space="preserve"> 25.</w:t>
      </w:r>
    </w:p>
    <w:p w14:paraId="38680D98" w14:textId="78FB9503" w:rsidR="00BF1BB7" w:rsidRDefault="00C546A6" w:rsidP="00AB117A">
      <w:pPr>
        <w:pStyle w:val="ParaLevel1"/>
      </w:pPr>
      <w:r>
        <w:rPr>
          <w:i/>
        </w:rPr>
        <w:t xml:space="preserve">Hartwell </w:t>
      </w:r>
      <w:r>
        <w:t>was a case about a police officer who fired four shots at his partner with a police service revolver and cau</w:t>
      </w:r>
      <w:r w:rsidR="00BF1BB7">
        <w:t>s</w:t>
      </w:r>
      <w:r w:rsidR="003733BE">
        <w:t>e</w:t>
      </w:r>
      <w:r w:rsidR="005F35BC">
        <w:t>d</w:t>
      </w:r>
      <w:r w:rsidR="003733BE">
        <w:t xml:space="preserve"> serious injury to the claimant, who was a tourist who happene</w:t>
      </w:r>
      <w:r w:rsidR="00BF1BB7">
        <w:t>d</w:t>
      </w:r>
      <w:r w:rsidR="003733BE">
        <w:t xml:space="preserve"> to be in </w:t>
      </w:r>
      <w:r w:rsidR="00801E24">
        <w:t>the bar at the time</w:t>
      </w:r>
      <w:r w:rsidR="00EE562E">
        <w:t xml:space="preserve"> of the shooting</w:t>
      </w:r>
      <w:r w:rsidR="00801E24">
        <w:t xml:space="preserve">. The evidence was that </w:t>
      </w:r>
      <w:r w:rsidR="00130E3B">
        <w:t xml:space="preserve">the police officer was not a fit and proper person to be given access to firearms. </w:t>
      </w:r>
      <w:r w:rsidR="00E178DF">
        <w:t xml:space="preserve">The Privy Council </w:t>
      </w:r>
      <w:r w:rsidR="00E439A0">
        <w:t>held that the police authority owed to the public at large a duty to take reasonable care to see that the officer was a suitable person to be entrusted with such a dangerous weapon and that there was a breach of that duty.</w:t>
      </w:r>
      <w:r w:rsidR="000B7481">
        <w:t xml:space="preserve"> Lord Nichol</w:t>
      </w:r>
      <w:r w:rsidR="00F33620">
        <w:t>l</w:t>
      </w:r>
      <w:r w:rsidR="000B7481">
        <w:t>s said:</w:t>
      </w:r>
    </w:p>
    <w:p w14:paraId="5820ACE6" w14:textId="2AD4EFA4" w:rsidR="007D2E62" w:rsidRDefault="007D2E62" w:rsidP="00AB117A">
      <w:pPr>
        <w:spacing w:before="100" w:beforeAutospacing="1" w:after="100" w:afterAutospacing="1"/>
        <w:ind w:left="1418" w:right="851"/>
        <w:jc w:val="both"/>
        <w:rPr>
          <w:lang w:eastAsia="en-GB"/>
        </w:rPr>
      </w:pPr>
      <w:r>
        <w:t>“38</w:t>
      </w:r>
      <w:r w:rsidR="00083A71">
        <w:t>…</w:t>
      </w:r>
      <w:bookmarkStart w:id="8" w:name="para38"/>
      <w:r>
        <w:t xml:space="preserve">The risk in the present case was that a police officer, entrusted with access to a firearm for police purposes, might take and use the weapon for his own purposes, namely, with the object of maliciously injuring someone else, this risk inevitably carrying with it the further risk that in the course of such criminal activity a member of the public might be injured. Were these two risks, and particularly the first of them, reasonably foreseeable? It is always </w:t>
      </w:r>
      <w:r>
        <w:rPr>
          <w:i/>
          <w:iCs/>
        </w:rPr>
        <w:t>possible</w:t>
      </w:r>
      <w:r>
        <w:t xml:space="preserve"> that anyone may behave in such an irresponsible and criminal fashion. Strange and unexpected things are always happening. But were these risks so remote that a reasonable police officer would ignore them as fanciful? </w:t>
      </w:r>
      <w:bookmarkEnd w:id="8"/>
    </w:p>
    <w:p w14:paraId="560160C6" w14:textId="6B8BEB9F" w:rsidR="000B7481" w:rsidRDefault="007D2E62" w:rsidP="00AB117A">
      <w:pPr>
        <w:spacing w:before="100" w:beforeAutospacing="1" w:after="100" w:afterAutospacing="1"/>
        <w:ind w:left="1418" w:right="851"/>
        <w:jc w:val="both"/>
      </w:pPr>
      <w:bookmarkStart w:id="9" w:name="para39"/>
      <w:r>
        <w:t xml:space="preserve">39. In agreement with the Court of Appeal, their Lordships consider this last question must be answered "no". In the view of their Lordships the appropriate analysis is that when entrusting a police officer with a gun the police authorities owe to the public at large a duty to take reasonable care to see the officer is a suitable person to be entrusted </w:t>
      </w:r>
      <w:r>
        <w:lastRenderedPageBreak/>
        <w:t xml:space="preserve">with such a dangerous weapon lest by any misuse of it he inflicts personal injury, whether accidentally or intentionally, on other persons. For this purpose no distinction is to be drawn between personal injuries inflicted in the course of police duties and personal injuries inflicted by a police officer using a police gun for his own ends. If this duty seems far-reaching in its scope it must be remembered that guns are dangerous weapons. The wide reach of the duty is proportionate to the gravity of the risks. Moreover, the duty imposes no more than an obligation to exercise the appropriately high standard of care to be expected of a reasonable person in the circumstances.” </w:t>
      </w:r>
      <w:bookmarkEnd w:id="9"/>
    </w:p>
    <w:p w14:paraId="670C0C80" w14:textId="119B1478" w:rsidR="00BF1BB7" w:rsidRDefault="0054634B" w:rsidP="00AB117A">
      <w:pPr>
        <w:pStyle w:val="ParaLevel1"/>
      </w:pPr>
      <w:r>
        <w:t xml:space="preserve">In </w:t>
      </w:r>
      <w:r>
        <w:rPr>
          <w:i/>
        </w:rPr>
        <w:t xml:space="preserve">Mitchell, </w:t>
      </w:r>
      <w:r w:rsidR="005D5214">
        <w:t>D and M were both local authority tenants. D had mental health issues and had threatened to kill M on a regular basis</w:t>
      </w:r>
      <w:r w:rsidR="00AA750D">
        <w:t xml:space="preserve">. Without informing M, the local authority </w:t>
      </w:r>
      <w:r w:rsidR="00C1447C">
        <w:t>summoned D to a meeting at which he was warned that continued anti-social behaviour</w:t>
      </w:r>
      <w:r w:rsidR="00225B72">
        <w:t xml:space="preserve"> could result in his eviction. About an hour after the meeting, D attacked M, who subsequently died. The claim </w:t>
      </w:r>
      <w:r w:rsidR="00755420">
        <w:t xml:space="preserve">against the local authority </w:t>
      </w:r>
      <w:r w:rsidR="00225B72">
        <w:t xml:space="preserve">was </w:t>
      </w:r>
      <w:r w:rsidR="00E84480">
        <w:t xml:space="preserve">based on the </w:t>
      </w:r>
      <w:r w:rsidR="00B54D6F">
        <w:t xml:space="preserve">events surrounding the meeting, not the pre-history, so it could be said that a state of danger already existed. The claim was </w:t>
      </w:r>
      <w:r w:rsidR="00225B72">
        <w:t xml:space="preserve">rejected, the House of Lords concluding that </w:t>
      </w:r>
      <w:r w:rsidR="00185691">
        <w:t>there was nothing to show that the local authority had made itself responsible for protecting M from the criminal acts of D. Lord Hope said:</w:t>
      </w:r>
      <w:r w:rsidR="00C1447C">
        <w:t xml:space="preserve"> </w:t>
      </w:r>
    </w:p>
    <w:p w14:paraId="381EE77B" w14:textId="4E2EC3B7" w:rsidR="00BF1BB7" w:rsidRPr="004128DF" w:rsidRDefault="004128DF" w:rsidP="00AB117A">
      <w:pPr>
        <w:pStyle w:val="ParaLevel1"/>
        <w:numPr>
          <w:ilvl w:val="0"/>
          <w:numId w:val="0"/>
        </w:numPr>
        <w:ind w:left="1418" w:right="851"/>
      </w:pPr>
      <w:r w:rsidRPr="004128DF">
        <w:t>“</w:t>
      </w:r>
      <w:bookmarkStart w:id="10" w:name="para15"/>
      <w:r w:rsidRPr="004128DF">
        <w:t xml:space="preserve">15. Three points must be made at the outset to put the submission into its proper context. The first is that foreseeability of harm is not of itself enough for the imposition of a duty of care: see, for example, </w:t>
      </w:r>
      <w:r w:rsidRPr="004128DF">
        <w:rPr>
          <w:i/>
          <w:iCs/>
        </w:rPr>
        <w:t>Dorset Yacht Co Ltd v Home Office</w:t>
      </w:r>
      <w:r w:rsidRPr="004128DF">
        <w:t xml:space="preserve"> </w:t>
      </w:r>
      <w:bookmarkEnd w:id="10"/>
      <w:r w:rsidRPr="004128DF">
        <w:fldChar w:fldCharType="begin"/>
      </w:r>
      <w:r w:rsidRPr="004128DF">
        <w:instrText xml:space="preserve"> HYPERLINK "https://www.bailii.org/cgi-bin/redirect.cgi?path=/uk/cases/UKHL/1970/2.html" \o "Link to BAILII version" </w:instrText>
      </w:r>
      <w:r w:rsidRPr="004128DF">
        <w:fldChar w:fldCharType="separate"/>
      </w:r>
      <w:r w:rsidRPr="004128DF">
        <w:rPr>
          <w:rStyle w:val="Hyperlink"/>
          <w:color w:val="auto"/>
        </w:rPr>
        <w:t>[1970] AC 1004</w:t>
      </w:r>
      <w:r w:rsidRPr="004128DF">
        <w:fldChar w:fldCharType="end"/>
      </w:r>
      <w:r w:rsidRPr="004128DF">
        <w:t xml:space="preserve">, 1037 - 1038, per Lord Morris of </w:t>
      </w:r>
      <w:proofErr w:type="spellStart"/>
      <w:r w:rsidRPr="004128DF">
        <w:t>Borth</w:t>
      </w:r>
      <w:proofErr w:type="spellEnd"/>
      <w:r w:rsidRPr="004128DF">
        <w:t xml:space="preserve">-y-Gest; </w:t>
      </w:r>
      <w:r w:rsidRPr="004128DF">
        <w:rPr>
          <w:i/>
          <w:iCs/>
        </w:rPr>
        <w:t xml:space="preserve">Smith v Littlewoods Organisation Ltd </w:t>
      </w:r>
      <w:r w:rsidRPr="004128DF">
        <w:t>(reported in the Session Cases as</w:t>
      </w:r>
      <w:r w:rsidRPr="004128DF">
        <w:rPr>
          <w:i/>
          <w:iCs/>
        </w:rPr>
        <w:t xml:space="preserve"> </w:t>
      </w:r>
      <w:proofErr w:type="spellStart"/>
      <w:r w:rsidRPr="004128DF">
        <w:rPr>
          <w:i/>
          <w:iCs/>
        </w:rPr>
        <w:t>Maloco</w:t>
      </w:r>
      <w:proofErr w:type="spellEnd"/>
      <w:r w:rsidRPr="004128DF">
        <w:rPr>
          <w:i/>
          <w:iCs/>
        </w:rPr>
        <w:t xml:space="preserve"> v Littlewoods Organisation Ltd</w:t>
      </w:r>
      <w:r w:rsidRPr="004128DF">
        <w:t xml:space="preserve">) </w:t>
      </w:r>
      <w:hyperlink r:id="rId20" w:tooltip="Link to BAILII version" w:history="1">
        <w:r w:rsidRPr="004128DF">
          <w:rPr>
            <w:rStyle w:val="Hyperlink"/>
            <w:color w:val="auto"/>
          </w:rPr>
          <w:t>1987 SC (HL) 37</w:t>
        </w:r>
      </w:hyperlink>
      <w:r w:rsidRPr="004128DF">
        <w:t xml:space="preserve">, 59, per Lord Griffiths; </w:t>
      </w:r>
      <w:r w:rsidRPr="004128DF">
        <w:rPr>
          <w:i/>
          <w:iCs/>
        </w:rPr>
        <w:t>Hill v Chief Constable of West Yorkshire</w:t>
      </w:r>
      <w:r w:rsidRPr="004128DF">
        <w:t xml:space="preserve"> </w:t>
      </w:r>
      <w:hyperlink r:id="rId21" w:tooltip="Link to BAILII version" w:history="1">
        <w:r w:rsidRPr="004128DF">
          <w:rPr>
            <w:rStyle w:val="Hyperlink"/>
            <w:color w:val="auto"/>
          </w:rPr>
          <w:t>[1989] AC 53</w:t>
        </w:r>
      </w:hyperlink>
      <w:r w:rsidRPr="004128DF">
        <w:t xml:space="preserve">, 60, per Lord Keith of Kinkel. Otherwise, to adopt Lord Keith of Kinkel's dramatic illustration in </w:t>
      </w:r>
      <w:r w:rsidRPr="004128DF">
        <w:rPr>
          <w:i/>
          <w:iCs/>
        </w:rPr>
        <w:t xml:space="preserve">Yuen </w:t>
      </w:r>
      <w:proofErr w:type="spellStart"/>
      <w:r w:rsidRPr="004128DF">
        <w:rPr>
          <w:i/>
          <w:iCs/>
        </w:rPr>
        <w:t>Kun</w:t>
      </w:r>
      <w:proofErr w:type="spellEnd"/>
      <w:r w:rsidRPr="004128DF">
        <w:rPr>
          <w:i/>
          <w:iCs/>
        </w:rPr>
        <w:t xml:space="preserve"> </w:t>
      </w:r>
      <w:proofErr w:type="spellStart"/>
      <w:r w:rsidRPr="004128DF">
        <w:rPr>
          <w:i/>
          <w:iCs/>
        </w:rPr>
        <w:t>Yeu</w:t>
      </w:r>
      <w:proofErr w:type="spellEnd"/>
      <w:r w:rsidRPr="004128DF">
        <w:rPr>
          <w:i/>
          <w:iCs/>
        </w:rPr>
        <w:t xml:space="preserve"> v Attorney General of Hong Kong</w:t>
      </w:r>
      <w:r w:rsidRPr="004128DF">
        <w:t xml:space="preserve"> [1988] AC 175,192, there would be liability in negligence on the part of one who sees another about to walk over a cliff with his head in the air, and forebears to shout a warning. The second, which flows from the first, is that the law does not normally impose a positive duty on a person to protect others. As Lord Goff of </w:t>
      </w:r>
      <w:proofErr w:type="spellStart"/>
      <w:r w:rsidRPr="004128DF">
        <w:t>Chieveley</w:t>
      </w:r>
      <w:proofErr w:type="spellEnd"/>
      <w:r w:rsidRPr="004128DF">
        <w:t xml:space="preserve"> explained in</w:t>
      </w:r>
      <w:r w:rsidRPr="004128DF">
        <w:rPr>
          <w:i/>
          <w:iCs/>
        </w:rPr>
        <w:t xml:space="preserve"> Smith v Littlewoods Organisation Ltd</w:t>
      </w:r>
      <w:r w:rsidRPr="004128DF">
        <w:t xml:space="preserve">, 76, the common law does not impose liability for what, without more, may be called pure omissions. The third, which is a development of the second, is that the law does not impose a duty to prevent a person from being harmed by the criminal act of a third party based simply upon foreseeability: </w:t>
      </w:r>
      <w:r w:rsidRPr="004128DF">
        <w:rPr>
          <w:i/>
          <w:iCs/>
        </w:rPr>
        <w:t>Smith v Littlewoods Organisation Ltd</w:t>
      </w:r>
      <w:r w:rsidRPr="004128DF">
        <w:t>, 77- 83, per Lord Goff.</w:t>
      </w:r>
      <w:r w:rsidR="00393BE5">
        <w:t>”</w:t>
      </w:r>
    </w:p>
    <w:p w14:paraId="3CCF09C0" w14:textId="26ACAF90" w:rsidR="004128DF" w:rsidRDefault="003B6301" w:rsidP="00AB117A">
      <w:pPr>
        <w:pStyle w:val="ParaLevel1"/>
        <w:numPr>
          <w:ilvl w:val="0"/>
          <w:numId w:val="0"/>
        </w:numPr>
        <w:ind w:left="720"/>
      </w:pPr>
      <w:r>
        <w:t xml:space="preserve">Later in his judgment at </w:t>
      </w:r>
      <w:r w:rsidR="006752E8">
        <w:t xml:space="preserve">[19] Lord Hope referred to </w:t>
      </w:r>
      <w:r w:rsidR="006752E8">
        <w:rPr>
          <w:i/>
        </w:rPr>
        <w:t>Hartwell,</w:t>
      </w:r>
      <w:r w:rsidR="006752E8">
        <w:t xml:space="preserve"> and said: “</w:t>
      </w:r>
      <w:r w:rsidR="00431DDC">
        <w:t>I</w:t>
      </w:r>
      <w:r w:rsidR="006752E8">
        <w:t>t is not so easy to reconcile an approach tha</w:t>
      </w:r>
      <w:r w:rsidR="00C2355F">
        <w:t>t relies generally on the likelihood of harm with the general rule that a person is under no legal duty to protect another from harm”.</w:t>
      </w:r>
      <w:r w:rsidR="00EE14FC">
        <w:t xml:space="preserve"> Put another way, </w:t>
      </w:r>
      <w:r w:rsidR="00F936BB">
        <w:t xml:space="preserve">Lord Hope </w:t>
      </w:r>
      <w:r w:rsidR="00F337A5">
        <w:t xml:space="preserve">might be </w:t>
      </w:r>
      <w:r w:rsidR="00183832">
        <w:t>thought</w:t>
      </w:r>
      <w:r w:rsidR="00F337A5">
        <w:t xml:space="preserve"> to be</w:t>
      </w:r>
      <w:r w:rsidR="00254E81">
        <w:t xml:space="preserve"> querying whether </w:t>
      </w:r>
      <w:r w:rsidR="00F936BB">
        <w:t>foreseeability was enough to found such a broad duty.</w:t>
      </w:r>
    </w:p>
    <w:p w14:paraId="42B3C0E1" w14:textId="39F53169" w:rsidR="00C2355F" w:rsidRDefault="00431DDC" w:rsidP="00AB117A">
      <w:pPr>
        <w:pStyle w:val="ParaLevel1"/>
      </w:pPr>
      <w:r>
        <w:lastRenderedPageBreak/>
        <w:t xml:space="preserve">In </w:t>
      </w:r>
      <w:r>
        <w:rPr>
          <w:i/>
        </w:rPr>
        <w:t>Michael,</w:t>
      </w:r>
      <w:r>
        <w:t xml:space="preserve"> the victim made a 999 call and told the call handler, amongst other things, that her former partner had threatened to kill her. The call handler did not pass </w:t>
      </w:r>
      <w:r w:rsidR="00656432">
        <w:t xml:space="preserve">on </w:t>
      </w:r>
      <w:r>
        <w:t xml:space="preserve">that </w:t>
      </w:r>
      <w:r w:rsidR="00656432">
        <w:t xml:space="preserve">part of the </w:t>
      </w:r>
      <w:r w:rsidR="00D228A6">
        <w:t>message</w:t>
      </w:r>
      <w:r w:rsidR="00656432">
        <w:t>,</w:t>
      </w:r>
      <w:r>
        <w:t xml:space="preserve"> with the result that the call </w:t>
      </w:r>
      <w:r w:rsidR="00491A0A">
        <w:t>was given a lower priority level. By the time the police responded to the call, the former partner had killed the victim.</w:t>
      </w:r>
      <w:r w:rsidR="00FB6BFA">
        <w:t xml:space="preserve"> By a majority, the Supreme Court rejected the claim</w:t>
      </w:r>
      <w:r w:rsidR="00D228A6">
        <w:t xml:space="preserve"> </w:t>
      </w:r>
      <w:r w:rsidR="00940D20">
        <w:t xml:space="preserve">in tort </w:t>
      </w:r>
      <w:r w:rsidR="00D228A6">
        <w:t>against the police</w:t>
      </w:r>
      <w:r w:rsidR="00FB6BFA">
        <w:t>. Lord To</w:t>
      </w:r>
      <w:r w:rsidR="00C409A2">
        <w:t>u</w:t>
      </w:r>
      <w:r w:rsidR="00FB6BFA">
        <w:t>lson</w:t>
      </w:r>
      <w:r w:rsidR="00C409A2">
        <w:t xml:space="preserve"> said:</w:t>
      </w:r>
    </w:p>
    <w:p w14:paraId="44A90CF4" w14:textId="0A0B48B5" w:rsidR="00120281" w:rsidRPr="00393BE5" w:rsidRDefault="00C409A2" w:rsidP="00AB117A">
      <w:pPr>
        <w:spacing w:before="100" w:beforeAutospacing="1" w:after="100" w:afterAutospacing="1"/>
        <w:ind w:left="1418" w:right="851"/>
        <w:jc w:val="both"/>
        <w:rPr>
          <w:lang w:eastAsia="en-GB"/>
        </w:rPr>
      </w:pPr>
      <w:r w:rsidRPr="00393BE5">
        <w:t>“</w:t>
      </w:r>
      <w:bookmarkStart w:id="11" w:name="para97"/>
      <w:r w:rsidR="00120281" w:rsidRPr="00393BE5">
        <w:t xml:space="preserve">97. English law does not as a general rule impose liability on a defendant (D) for injury or damage to the person or property of a claimant (C) caused by the conduct of a third party (T): </w:t>
      </w:r>
      <w:r w:rsidR="00120281" w:rsidRPr="00393BE5">
        <w:rPr>
          <w:i/>
          <w:iCs/>
        </w:rPr>
        <w:t>Smith v Littlewoods Organisation Ltd</w:t>
      </w:r>
      <w:r w:rsidR="00120281" w:rsidRPr="00393BE5">
        <w:t xml:space="preserve"> </w:t>
      </w:r>
      <w:bookmarkEnd w:id="11"/>
      <w:r w:rsidR="00120281" w:rsidRPr="00393BE5">
        <w:fldChar w:fldCharType="begin"/>
      </w:r>
      <w:r w:rsidR="00120281" w:rsidRPr="00393BE5">
        <w:instrText xml:space="preserve"> HYPERLINK "https://www.bailii.org/cgi-bin/redirect.cgi?path=/uk/cases/UKHL/1987/3.html" \o "Link to BAILII version" </w:instrText>
      </w:r>
      <w:r w:rsidR="00120281" w:rsidRPr="00393BE5">
        <w:fldChar w:fldCharType="separate"/>
      </w:r>
      <w:r w:rsidR="00120281" w:rsidRPr="00393BE5">
        <w:rPr>
          <w:rStyle w:val="Hyperlink"/>
          <w:color w:val="auto"/>
        </w:rPr>
        <w:t>[1987] AC 241</w:t>
      </w:r>
      <w:r w:rsidR="00120281" w:rsidRPr="00393BE5">
        <w:fldChar w:fldCharType="end"/>
      </w:r>
      <w:r w:rsidR="00120281" w:rsidRPr="00393BE5">
        <w:t xml:space="preserve">, 270 (a Scottish appeal in which a large number of English and Scottish cases were reviewed). The fundamental reason, as Lord Goff explained, is that the common law does not generally impose liability for pure omissions. It is one thing to require a person who embarks on action which may harm others to exercise care. It is another matter to hold a person liable in damages for failing to prevent harm caused by someone else. </w:t>
      </w:r>
    </w:p>
    <w:p w14:paraId="2462CB5A" w14:textId="239D9458" w:rsidR="00120281" w:rsidRPr="00393BE5" w:rsidRDefault="00120281" w:rsidP="00AB117A">
      <w:pPr>
        <w:spacing w:before="100" w:beforeAutospacing="1" w:after="100" w:afterAutospacing="1"/>
        <w:ind w:left="1418" w:right="851"/>
        <w:jc w:val="both"/>
      </w:pPr>
      <w:bookmarkStart w:id="12" w:name="para98"/>
      <w:r w:rsidRPr="00393BE5">
        <w:t xml:space="preserve">98. The rule is not absolute. Apart from statutory exceptions, there are two well recognised types of situation in which the common law may impose liability for a careless omission. </w:t>
      </w:r>
      <w:bookmarkEnd w:id="12"/>
    </w:p>
    <w:p w14:paraId="7B93A80C" w14:textId="77777777" w:rsidR="00F954E5" w:rsidRDefault="00120281" w:rsidP="00AB117A">
      <w:pPr>
        <w:spacing w:before="100" w:beforeAutospacing="1" w:after="100" w:afterAutospacing="1"/>
        <w:ind w:left="1418" w:right="851"/>
        <w:jc w:val="both"/>
      </w:pPr>
      <w:bookmarkStart w:id="13" w:name="para99"/>
      <w:r w:rsidRPr="00393BE5">
        <w:t xml:space="preserve">99. The first is where D was in a position of control over T and should have foreseen the likelihood of T causing damage to somebody in close proximity if D failed to take reasonable care in the exercise of that control. </w:t>
      </w:r>
      <w:r w:rsidRPr="00393BE5">
        <w:rPr>
          <w:i/>
          <w:iCs/>
        </w:rPr>
        <w:t>Dorset Yacht</w:t>
      </w:r>
      <w:r w:rsidRPr="00393BE5">
        <w:t xml:space="preserve"> is the classic example, and in that case Lord Diplock set close limits to the scope of the liability.</w:t>
      </w:r>
      <w:r w:rsidR="00F954E5">
        <w:t>.</w:t>
      </w:r>
      <w:r w:rsidRPr="00393BE5">
        <w:t>.</w:t>
      </w:r>
    </w:p>
    <w:p w14:paraId="7D2005F2" w14:textId="651FF06A" w:rsidR="00120281" w:rsidRPr="00393BE5" w:rsidRDefault="001B1AD2" w:rsidP="00AB117A">
      <w:pPr>
        <w:spacing w:before="100" w:beforeAutospacing="1" w:after="100" w:afterAutospacing="1"/>
        <w:ind w:left="1418" w:right="851"/>
        <w:jc w:val="both"/>
      </w:pPr>
      <w:r>
        <w:t xml:space="preserve">100. </w:t>
      </w:r>
      <w:r w:rsidR="00C254E7">
        <w:t>T</w:t>
      </w:r>
      <w:r>
        <w:t xml:space="preserve">he second general exception applies where D assumes a positive responsibility </w:t>
      </w:r>
      <w:r w:rsidR="00C254E7">
        <w:t xml:space="preserve">to safeguard C under the </w:t>
      </w:r>
      <w:r w:rsidR="00C254E7" w:rsidRPr="00C254E7">
        <w:rPr>
          <w:i/>
          <w:iCs/>
        </w:rPr>
        <w:t>Hedley Byrne</w:t>
      </w:r>
      <w:r w:rsidR="00C254E7">
        <w:t xml:space="preserve"> principle…</w:t>
      </w:r>
      <w:r w:rsidR="00393BE5">
        <w:t>”</w:t>
      </w:r>
      <w:r w:rsidR="00120281" w:rsidRPr="00393BE5">
        <w:t xml:space="preserve"> </w:t>
      </w:r>
      <w:bookmarkEnd w:id="13"/>
    </w:p>
    <w:p w14:paraId="67BDD7FB" w14:textId="00AB21D2" w:rsidR="004864F6" w:rsidRDefault="00B225BC" w:rsidP="00AB117A">
      <w:pPr>
        <w:pStyle w:val="ParaLevel1"/>
        <w:numPr>
          <w:ilvl w:val="0"/>
          <w:numId w:val="0"/>
        </w:numPr>
        <w:ind w:left="720"/>
      </w:pPr>
      <w:r>
        <w:t>Thereafter, for the reasons set out at length in his judgment</w:t>
      </w:r>
      <w:r w:rsidR="002617A2">
        <w:t>, primarily concerned with the liability of public bodies in such circumstances</w:t>
      </w:r>
      <w:r>
        <w:t xml:space="preserve">, Lord Toulson rejected the </w:t>
      </w:r>
      <w:r w:rsidR="00727F3C">
        <w:t>proposition that there was a duty of care in th</w:t>
      </w:r>
      <w:r w:rsidR="00913222">
        <w:t>at case under either of the exceptions</w:t>
      </w:r>
      <w:r w:rsidR="00727F3C">
        <w:t>.</w:t>
      </w:r>
    </w:p>
    <w:p w14:paraId="2B994EBD" w14:textId="77777777" w:rsidR="006562C4" w:rsidRDefault="00312414" w:rsidP="00AB117A">
      <w:pPr>
        <w:pStyle w:val="ParaLevel1"/>
      </w:pPr>
      <w:r>
        <w:t xml:space="preserve">By contrast, in </w:t>
      </w:r>
      <w:r>
        <w:rPr>
          <w:i/>
        </w:rPr>
        <w:t xml:space="preserve">Robinson, </w:t>
      </w:r>
      <w:r>
        <w:t>police officers caused foreseeable injury to an elder</w:t>
      </w:r>
      <w:r w:rsidR="00AD20D9">
        <w:t xml:space="preserve">ly passer-by while attempting to arrest a suspect on the street in the town centre. </w:t>
      </w:r>
      <w:r w:rsidR="005B4B89">
        <w:t>The Supreme Court found that there was a reasonably foreseeable risk of injury and the police officers had owed a duty of care towards pedestrian</w:t>
      </w:r>
      <w:r w:rsidR="00E53963">
        <w:t>s, including the claimant, in the immediate vicinity when the arrest had been attempted. In that case, Lord Re</w:t>
      </w:r>
      <w:r w:rsidR="008233D7">
        <w:t xml:space="preserve">ed adopted Lord Hope’s analysis in </w:t>
      </w:r>
      <w:r w:rsidR="008233D7">
        <w:rPr>
          <w:i/>
        </w:rPr>
        <w:t>Mitchell</w:t>
      </w:r>
      <w:r w:rsidR="008233D7">
        <w:t xml:space="preserve"> in arriving at his conclusions.</w:t>
      </w:r>
      <w:r w:rsidR="00AD20D9">
        <w:t xml:space="preserve"> </w:t>
      </w:r>
      <w:r w:rsidR="00563B54">
        <w:t xml:space="preserve">He said at </w:t>
      </w:r>
      <w:r w:rsidR="00F67C40">
        <w:t xml:space="preserve">[37]: </w:t>
      </w:r>
    </w:p>
    <w:p w14:paraId="10730259" w14:textId="689696F6" w:rsidR="004551D8" w:rsidRPr="00F579AF" w:rsidRDefault="004551D8" w:rsidP="00AB117A">
      <w:pPr>
        <w:spacing w:after="520"/>
        <w:ind w:left="1418" w:rightChars="150" w:right="360"/>
        <w:jc w:val="both"/>
        <w:rPr>
          <w:lang w:eastAsia="en-GB"/>
        </w:rPr>
      </w:pPr>
      <w:r>
        <w:rPr>
          <w:lang w:eastAsia="en-GB"/>
        </w:rPr>
        <w:t>“</w:t>
      </w:r>
      <w:r w:rsidRPr="00F579AF">
        <w:rPr>
          <w:lang w:eastAsia="en-GB"/>
        </w:rPr>
        <w:t xml:space="preserve">A further point, closely related to the last, is that public authorities, like private individuals and bodies, generally owe no duty of care towards individuals to prevent them from being harmed by the conduct of a third party: see, for example, </w:t>
      </w:r>
      <w:r w:rsidRPr="00F579AF">
        <w:rPr>
          <w:i/>
          <w:iCs/>
          <w:lang w:eastAsia="en-GB"/>
        </w:rPr>
        <w:t xml:space="preserve">Smith v Littlewoods Organisation Ltd </w:t>
      </w:r>
      <w:r w:rsidRPr="00F579AF">
        <w:rPr>
          <w:lang w:eastAsia="en-GB"/>
        </w:rPr>
        <w:t xml:space="preserve">and </w:t>
      </w:r>
      <w:r w:rsidRPr="00F579AF">
        <w:rPr>
          <w:i/>
          <w:iCs/>
          <w:lang w:eastAsia="en-GB"/>
        </w:rPr>
        <w:t xml:space="preserve">Mitchell v Glasgow City Council. </w:t>
      </w:r>
      <w:r w:rsidRPr="00F579AF">
        <w:rPr>
          <w:lang w:eastAsia="en-GB"/>
        </w:rPr>
        <w:t xml:space="preserve">In </w:t>
      </w:r>
      <w:r w:rsidRPr="00F579AF">
        <w:rPr>
          <w:i/>
          <w:iCs/>
          <w:lang w:eastAsia="en-GB"/>
        </w:rPr>
        <w:t xml:space="preserve">Michael, </w:t>
      </w:r>
      <w:r w:rsidRPr="00F579AF">
        <w:rPr>
          <w:lang w:eastAsia="en-GB"/>
        </w:rPr>
        <w:t>Lord Toulson explained the point in this way</w:t>
      </w:r>
      <w:r w:rsidRPr="00F579AF">
        <w:rPr>
          <w:i/>
          <w:iCs/>
          <w:lang w:eastAsia="en-GB"/>
        </w:rPr>
        <w:t>:</w:t>
      </w:r>
    </w:p>
    <w:p w14:paraId="272DD2CC" w14:textId="77777777" w:rsidR="004551D8" w:rsidRPr="00F579AF" w:rsidRDefault="004551D8" w:rsidP="00AB117A">
      <w:pPr>
        <w:spacing w:after="520"/>
        <w:ind w:left="1701" w:rightChars="200" w:right="480"/>
        <w:jc w:val="both"/>
        <w:rPr>
          <w:lang w:eastAsia="en-GB"/>
        </w:rPr>
      </w:pPr>
      <w:r w:rsidRPr="00F579AF">
        <w:rPr>
          <w:lang w:eastAsia="en-GB"/>
        </w:rPr>
        <w:lastRenderedPageBreak/>
        <w:t>“It is one thing to require a person who embarks on action which may harm others to exercise care. It is another matter to hold a person liable in damages for failing to prevent harm caused by someone else.” (para 97)</w:t>
      </w:r>
    </w:p>
    <w:p w14:paraId="23FC9402" w14:textId="3200FFF0" w:rsidR="004551D8" w:rsidRPr="00F579AF" w:rsidRDefault="004551D8" w:rsidP="00AB117A">
      <w:pPr>
        <w:spacing w:after="520"/>
        <w:ind w:left="1418" w:rightChars="125" w:right="300"/>
        <w:jc w:val="both"/>
        <w:rPr>
          <w:lang w:eastAsia="en-GB"/>
        </w:rPr>
      </w:pPr>
      <w:r w:rsidRPr="00F579AF">
        <w:rPr>
          <w:lang w:eastAsia="en-GB"/>
        </w:rPr>
        <w:t xml:space="preserve">There are however circumstances where such a duty may be owed, as </w:t>
      </w:r>
      <w:proofErr w:type="spellStart"/>
      <w:r w:rsidRPr="00F579AF">
        <w:rPr>
          <w:lang w:eastAsia="en-GB"/>
        </w:rPr>
        <w:t>Tofaris</w:t>
      </w:r>
      <w:proofErr w:type="spellEnd"/>
      <w:r w:rsidRPr="00F579AF">
        <w:rPr>
          <w:lang w:eastAsia="en-GB"/>
        </w:rPr>
        <w:t xml:space="preserve"> and Steele indicated in the passage quoted above. They include circumstances where the public authority has created a danger of harm which would not otherwise have existed, or has assumed a responsibility for an individual’s safety on which the individual has relied. The first type of situation is illustrated by </w:t>
      </w:r>
      <w:r w:rsidRPr="00F579AF">
        <w:rPr>
          <w:i/>
          <w:iCs/>
          <w:lang w:eastAsia="en-GB"/>
        </w:rPr>
        <w:t xml:space="preserve">Dorset Yacht, </w:t>
      </w:r>
      <w:r w:rsidRPr="00F579AF">
        <w:rPr>
          <w:lang w:eastAsia="en-GB"/>
        </w:rPr>
        <w:t xml:space="preserve">and in relation to the police by the case of </w:t>
      </w:r>
      <w:r w:rsidRPr="00F579AF">
        <w:rPr>
          <w:i/>
          <w:iCs/>
          <w:lang w:eastAsia="en-GB"/>
        </w:rPr>
        <w:t xml:space="preserve">Attorney General of the British Virgin Islands v Hartwell </w:t>
      </w:r>
      <w:hyperlink r:id="rId22" w:tooltip="Link to BAILII version" w:history="1">
        <w:r w:rsidRPr="00F579AF">
          <w:rPr>
            <w:u w:val="single"/>
            <w:lang w:eastAsia="en-GB"/>
          </w:rPr>
          <w:t>[2004] 1 WLR 1273</w:t>
        </w:r>
      </w:hyperlink>
      <w:r w:rsidRPr="00F579AF">
        <w:rPr>
          <w:lang w:eastAsia="en-GB"/>
        </w:rPr>
        <w:t xml:space="preserve">, discussed below. The second type of situation is illustrated, in relation to the police, by the case of </w:t>
      </w:r>
      <w:r w:rsidRPr="00F579AF">
        <w:rPr>
          <w:i/>
          <w:iCs/>
          <w:lang w:eastAsia="en-GB"/>
        </w:rPr>
        <w:t xml:space="preserve">An Informer v A Chief Constable </w:t>
      </w:r>
      <w:hyperlink r:id="rId23" w:tooltip="Link to BAILII version" w:history="1">
        <w:r w:rsidRPr="00F579AF">
          <w:rPr>
            <w:u w:val="single"/>
            <w:lang w:eastAsia="en-GB"/>
          </w:rPr>
          <w:t>[2013] QB 579</w:t>
        </w:r>
      </w:hyperlink>
      <w:r w:rsidRPr="00F579AF">
        <w:rPr>
          <w:lang w:eastAsia="en-GB"/>
        </w:rPr>
        <w:t xml:space="preserve">, as explained in </w:t>
      </w:r>
      <w:r w:rsidRPr="00F579AF">
        <w:rPr>
          <w:i/>
          <w:iCs/>
          <w:lang w:eastAsia="en-GB"/>
        </w:rPr>
        <w:t xml:space="preserve">Michael </w:t>
      </w:r>
      <w:r w:rsidRPr="00F579AF">
        <w:rPr>
          <w:lang w:eastAsia="en-GB"/>
        </w:rPr>
        <w:t>at para 69.</w:t>
      </w:r>
      <w:r>
        <w:rPr>
          <w:lang w:eastAsia="en-GB"/>
        </w:rPr>
        <w:t>”</w:t>
      </w:r>
    </w:p>
    <w:p w14:paraId="4A729641" w14:textId="2C8A00E6" w:rsidR="004128DF" w:rsidRDefault="004864F6" w:rsidP="00AB117A">
      <w:pPr>
        <w:pStyle w:val="ParaLevel1"/>
      </w:pPr>
      <w:r>
        <w:t>T</w:t>
      </w:r>
      <w:r w:rsidR="00727F3C">
        <w:t>wo general points should be made</w:t>
      </w:r>
      <w:r w:rsidR="00091B39">
        <w:t xml:space="preserve"> about these authorities</w:t>
      </w:r>
      <w:r w:rsidR="00727F3C">
        <w:t>.</w:t>
      </w:r>
      <w:r w:rsidR="004D1D23">
        <w:t xml:space="preserve"> Fir</w:t>
      </w:r>
      <w:r w:rsidR="004128DF">
        <w:t>s</w:t>
      </w:r>
      <w:r w:rsidR="004D1D23">
        <w:t>t,</w:t>
      </w:r>
      <w:r w:rsidR="00091B39">
        <w:t xml:space="preserve"> </w:t>
      </w:r>
      <w:r w:rsidR="006C14A4">
        <w:t>they show</w:t>
      </w:r>
      <w:r w:rsidR="00091B39">
        <w:t xml:space="preserve"> </w:t>
      </w:r>
      <w:r w:rsidR="00FA7459">
        <w:t xml:space="preserve">that </w:t>
      </w:r>
      <w:r w:rsidR="005D5F97">
        <w:t xml:space="preserve">it </w:t>
      </w:r>
      <w:r w:rsidR="006C14A4">
        <w:t>may be</w:t>
      </w:r>
      <w:r w:rsidR="005D5F97">
        <w:t xml:space="preserve"> </w:t>
      </w:r>
      <w:r w:rsidR="00960D49">
        <w:t xml:space="preserve">unnecessary </w:t>
      </w:r>
      <w:r w:rsidR="005D5F97">
        <w:t>and potentially distracting to insist</w:t>
      </w:r>
      <w:r w:rsidR="0078690B">
        <w:t xml:space="preserve"> that</w:t>
      </w:r>
      <w:r w:rsidR="00DB1B98">
        <w:t xml:space="preserve"> </w:t>
      </w:r>
      <w:r w:rsidR="00ED78DE">
        <w:t xml:space="preserve">claims </w:t>
      </w:r>
      <w:r w:rsidR="00B05D01">
        <w:t xml:space="preserve">in tort </w:t>
      </w:r>
      <w:r w:rsidR="00ED78DE">
        <w:t>arising from the intervention of third parties</w:t>
      </w:r>
      <w:r w:rsidR="00DB1B98">
        <w:t xml:space="preserve"> </w:t>
      </w:r>
      <w:r w:rsidR="00185D2B">
        <w:t>must be</w:t>
      </w:r>
      <w:r w:rsidR="001322FC">
        <w:t xml:space="preserve"> </w:t>
      </w:r>
      <w:r w:rsidR="009F02CE">
        <w:t xml:space="preserve">corralled into </w:t>
      </w:r>
      <w:r w:rsidR="006A162F">
        <w:t>a</w:t>
      </w:r>
      <w:r w:rsidR="009F02CE">
        <w:t xml:space="preserve"> pen</w:t>
      </w:r>
      <w:r w:rsidR="006A162F">
        <w:t xml:space="preserve"> </w:t>
      </w:r>
      <w:r w:rsidR="009F02CE">
        <w:t>marked</w:t>
      </w:r>
      <w:r w:rsidR="00DB1B98">
        <w:t xml:space="preserve"> “pure omissions”. That may have been </w:t>
      </w:r>
      <w:r w:rsidR="006E0CB8">
        <w:t xml:space="preserve">how Lord Goff treated </w:t>
      </w:r>
      <w:r w:rsidR="00DB5FB3">
        <w:t>such claims</w:t>
      </w:r>
      <w:r w:rsidR="006E0CB8">
        <w:t xml:space="preserve"> in </w:t>
      </w:r>
      <w:r w:rsidR="006E0CB8" w:rsidRPr="002D6744">
        <w:rPr>
          <w:i/>
        </w:rPr>
        <w:t xml:space="preserve">Smith, </w:t>
      </w:r>
      <w:r w:rsidR="006E0CB8">
        <w:t xml:space="preserve">but that language is </w:t>
      </w:r>
      <w:r w:rsidR="00F8404A">
        <w:t>not always</w:t>
      </w:r>
      <w:r w:rsidR="00692FE3">
        <w:t xml:space="preserve"> </w:t>
      </w:r>
      <w:r w:rsidR="006E0CB8">
        <w:t>helpful and</w:t>
      </w:r>
      <w:r w:rsidR="00692FE3">
        <w:t xml:space="preserve"> can appear</w:t>
      </w:r>
      <w:r w:rsidR="006E0CB8">
        <w:t xml:space="preserve"> outdated. </w:t>
      </w:r>
      <w:r w:rsidR="002D6744">
        <w:t xml:space="preserve">It </w:t>
      </w:r>
      <w:r w:rsidR="00692FE3">
        <w:t>can be</w:t>
      </w:r>
      <w:r w:rsidR="002D6744">
        <w:t xml:space="preserve"> unhelpful because it </w:t>
      </w:r>
      <w:r w:rsidR="001878A3">
        <w:t>can lead</w:t>
      </w:r>
      <w:r w:rsidR="002D6744">
        <w:t xml:space="preserve"> to interminable debates (including in th</w:t>
      </w:r>
      <w:r w:rsidR="00F23AB4">
        <w:t>e present</w:t>
      </w:r>
      <w:r w:rsidR="002D6744">
        <w:t xml:space="preserve"> case) </w:t>
      </w:r>
      <w:r w:rsidR="00F23AB4">
        <w:t>a</w:t>
      </w:r>
      <w:r w:rsidR="00960A92">
        <w:t>bout</w:t>
      </w:r>
      <w:r w:rsidR="002D6744">
        <w:t xml:space="preserve"> whether </w:t>
      </w:r>
      <w:r w:rsidR="00D51DA4">
        <w:t>the facts of a particular case</w:t>
      </w:r>
      <w:r w:rsidR="002D6744">
        <w:t xml:space="preserve"> could be said to </w:t>
      </w:r>
      <w:r w:rsidR="00D51DA4">
        <w:t>amount to</w:t>
      </w:r>
      <w:r w:rsidR="002D6744">
        <w:t xml:space="preserve"> </w:t>
      </w:r>
      <w:r w:rsidR="00901735">
        <w:t>“</w:t>
      </w:r>
      <w:r w:rsidR="005A0BF8">
        <w:t>pure omissions</w:t>
      </w:r>
      <w:r w:rsidR="00901735">
        <w:t>”</w:t>
      </w:r>
      <w:r w:rsidR="00FA1ADB">
        <w:t>,</w:t>
      </w:r>
      <w:r w:rsidR="005A0BF8">
        <w:t xml:space="preserve"> or whether there w</w:t>
      </w:r>
      <w:r w:rsidR="00D51DA4">
        <w:t>as an</w:t>
      </w:r>
      <w:r w:rsidR="005A0BF8">
        <w:t xml:space="preserve"> act</w:t>
      </w:r>
      <w:r w:rsidR="00FA1ADB">
        <w:t xml:space="preserve"> or acts</w:t>
      </w:r>
      <w:r w:rsidR="005A0BF8">
        <w:t xml:space="preserve"> which might </w:t>
      </w:r>
      <w:r w:rsidR="006A162F">
        <w:t xml:space="preserve">somehow </w:t>
      </w:r>
      <w:r w:rsidR="005A0BF8">
        <w:t>make all the difference</w:t>
      </w:r>
      <w:r w:rsidR="00FA1ADB">
        <w:t xml:space="preserve"> to the application of the exception</w:t>
      </w:r>
      <w:r w:rsidR="005A0BF8">
        <w:t>. Such debates have always had an air of artificiality</w:t>
      </w:r>
      <w:r w:rsidR="00F72619">
        <w:t xml:space="preserve"> </w:t>
      </w:r>
      <w:r w:rsidR="001F47DE">
        <w:t>and they</w:t>
      </w:r>
      <w:r w:rsidR="00F72619">
        <w:t xml:space="preserve"> detract from the underlying principles to be applied in third party cases</w:t>
      </w:r>
      <w:r w:rsidR="000D27C1">
        <w:t>,</w:t>
      </w:r>
      <w:r w:rsidR="00945844">
        <w:t xml:space="preserve"> a point I </w:t>
      </w:r>
      <w:r w:rsidR="00BD609E">
        <w:t xml:space="preserve">tentatively </w:t>
      </w:r>
      <w:r w:rsidR="00945844">
        <w:t xml:space="preserve">made in </w:t>
      </w:r>
      <w:proofErr w:type="spellStart"/>
      <w:r w:rsidR="00945844">
        <w:rPr>
          <w:i/>
        </w:rPr>
        <w:t>Kalma</w:t>
      </w:r>
      <w:proofErr w:type="spellEnd"/>
      <w:r w:rsidR="00945844">
        <w:rPr>
          <w:i/>
        </w:rPr>
        <w:t xml:space="preserve"> v African Minerals Limited and Others </w:t>
      </w:r>
      <w:r w:rsidR="00945844">
        <w:t xml:space="preserve">[2020] </w:t>
      </w:r>
      <w:proofErr w:type="spellStart"/>
      <w:r w:rsidR="00945844">
        <w:t>EWCA</w:t>
      </w:r>
      <w:proofErr w:type="spellEnd"/>
      <w:r w:rsidR="00945844">
        <w:t xml:space="preserve"> </w:t>
      </w:r>
      <w:proofErr w:type="spellStart"/>
      <w:r w:rsidR="00945844">
        <w:t>Civ</w:t>
      </w:r>
      <w:proofErr w:type="spellEnd"/>
      <w:r w:rsidR="00945844">
        <w:t xml:space="preserve"> 144 at </w:t>
      </w:r>
      <w:r w:rsidR="00BD609E">
        <w:t>[</w:t>
      </w:r>
      <w:r w:rsidR="00E85F97">
        <w:t>121</w:t>
      </w:r>
      <w:r w:rsidR="00BD609E">
        <w:t>]</w:t>
      </w:r>
      <w:r w:rsidR="00E85F97">
        <w:t xml:space="preserve"> and </w:t>
      </w:r>
      <w:r w:rsidR="00BD609E">
        <w:t>[</w:t>
      </w:r>
      <w:r w:rsidR="00E85F97">
        <w:t>128</w:t>
      </w:r>
      <w:r w:rsidR="00BD609E">
        <w:t>]</w:t>
      </w:r>
      <w:r w:rsidR="00E85F97">
        <w:t xml:space="preserve">, </w:t>
      </w:r>
      <w:r w:rsidR="003F5265">
        <w:t>and</w:t>
      </w:r>
      <w:r w:rsidR="00E57FF2">
        <w:t xml:space="preserve"> which</w:t>
      </w:r>
      <w:r w:rsidR="00E85F97">
        <w:t xml:space="preserve">, more importantly, </w:t>
      </w:r>
      <w:r w:rsidR="00E57FF2">
        <w:t xml:space="preserve">was made </w:t>
      </w:r>
      <w:r w:rsidR="00F43460">
        <w:t xml:space="preserve">expressly </w:t>
      </w:r>
      <w:r w:rsidR="00E85F97">
        <w:t>by Lord Re</w:t>
      </w:r>
      <w:r w:rsidR="00E57FF2">
        <w:t>e</w:t>
      </w:r>
      <w:r w:rsidR="00E85F97">
        <w:t xml:space="preserve">d in </w:t>
      </w:r>
      <w:r w:rsidR="00E85F97">
        <w:rPr>
          <w:i/>
        </w:rPr>
        <w:t>Poole</w:t>
      </w:r>
      <w:r w:rsidR="005F48B9">
        <w:t xml:space="preserve"> at [28</w:t>
      </w:r>
      <w:r w:rsidR="00CB476B">
        <w:t>].</w:t>
      </w:r>
    </w:p>
    <w:p w14:paraId="2632BA12" w14:textId="5B50ACD5" w:rsidR="005959DE" w:rsidRDefault="00F72619" w:rsidP="00AB117A">
      <w:pPr>
        <w:pStyle w:val="ParaLevel1"/>
      </w:pPr>
      <w:r>
        <w:t>T</w:t>
      </w:r>
      <w:r w:rsidR="00CB476B">
        <w:t>hat same p</w:t>
      </w:r>
      <w:r w:rsidR="00BC2451">
        <w:t>a</w:t>
      </w:r>
      <w:r w:rsidR="00CB476B">
        <w:t>ragraph in Lord Re</w:t>
      </w:r>
      <w:r>
        <w:t>e</w:t>
      </w:r>
      <w:r w:rsidR="00CB476B">
        <w:t xml:space="preserve">d’s judgment also explains </w:t>
      </w:r>
      <w:r w:rsidR="00F7537F">
        <w:t>why the language of “pure omissions”</w:t>
      </w:r>
      <w:r w:rsidR="000D27C1">
        <w:t xml:space="preserve"> mig</w:t>
      </w:r>
      <w:r w:rsidR="00F0159D">
        <w:t xml:space="preserve">ht </w:t>
      </w:r>
      <w:r w:rsidR="00F7537F">
        <w:t xml:space="preserve">now </w:t>
      </w:r>
      <w:r w:rsidR="000D27C1">
        <w:t xml:space="preserve">be regarded as </w:t>
      </w:r>
      <w:r w:rsidR="00722308">
        <w:t xml:space="preserve">somewhat </w:t>
      </w:r>
      <w:r w:rsidR="00F7537F">
        <w:t>outdated. H</w:t>
      </w:r>
      <w:r w:rsidR="00F0159D">
        <w:t xml:space="preserve">e </w:t>
      </w:r>
      <w:r w:rsidR="00711FDC">
        <w:t xml:space="preserve">instead </w:t>
      </w:r>
      <w:r w:rsidR="00F0159D">
        <w:t>drew the</w:t>
      </w:r>
      <w:r w:rsidR="00F7537F">
        <w:t xml:space="preserve"> distinction between causing harm (making things worse)</w:t>
      </w:r>
      <w:r w:rsidR="001F1C8D">
        <w:t>, on the one hand,</w:t>
      </w:r>
      <w:r w:rsidR="00F7537F">
        <w:t xml:space="preserve"> and </w:t>
      </w:r>
      <w:r w:rsidR="00BC2451">
        <w:t>f</w:t>
      </w:r>
      <w:r w:rsidR="00F7537F">
        <w:t xml:space="preserve">ailing to </w:t>
      </w:r>
      <w:r w:rsidR="00173EBB">
        <w:t>confer a benefit (not making thing</w:t>
      </w:r>
      <w:r w:rsidR="00BC2451">
        <w:t>s</w:t>
      </w:r>
      <w:r w:rsidR="00173EBB">
        <w:t xml:space="preserve"> better)</w:t>
      </w:r>
      <w:r w:rsidR="005E4CF4">
        <w:t xml:space="preserve">, </w:t>
      </w:r>
      <w:r w:rsidR="001F1C8D">
        <w:t>on the other</w:t>
      </w:r>
      <w:r w:rsidR="003862A8">
        <w:t>. He</w:t>
      </w:r>
      <w:r w:rsidR="005E4CF4">
        <w:t xml:space="preserve"> noted that the law </w:t>
      </w:r>
      <w:r w:rsidR="00D438CF">
        <w:t>often impose</w:t>
      </w:r>
      <w:r w:rsidR="001576F3">
        <w:t>s</w:t>
      </w:r>
      <w:r w:rsidR="00D438CF">
        <w:t xml:space="preserve"> a duty of care</w:t>
      </w:r>
      <w:r w:rsidR="004A5FFC">
        <w:t xml:space="preserve"> not to make things worse</w:t>
      </w:r>
      <w:r w:rsidR="00D438CF">
        <w:t xml:space="preserve">, but </w:t>
      </w:r>
      <w:r w:rsidR="005E4CF4">
        <w:t xml:space="preserve">rarely imposed a duty to </w:t>
      </w:r>
      <w:r w:rsidR="004A5FFC">
        <w:t>make things better</w:t>
      </w:r>
      <w:r w:rsidR="00173EBB">
        <w:t>.</w:t>
      </w:r>
      <w:r w:rsidR="00042D53">
        <w:t xml:space="preserve"> That is a much clearer description of where the dividing line might be drawn in any particular case.</w:t>
      </w:r>
    </w:p>
    <w:p w14:paraId="6E256A5C" w14:textId="757E46BE" w:rsidR="005959DE" w:rsidRDefault="00042D53" w:rsidP="00AB117A">
      <w:pPr>
        <w:pStyle w:val="ParaLevel1"/>
      </w:pPr>
      <w:r>
        <w:t>The s</w:t>
      </w:r>
      <w:r w:rsidR="003F31F8">
        <w:t>econd</w:t>
      </w:r>
      <w:r>
        <w:t xml:space="preserve"> general point to be made </w:t>
      </w:r>
      <w:r w:rsidR="001975A0">
        <w:t>about</w:t>
      </w:r>
      <w:r>
        <w:t xml:space="preserve"> these authorities</w:t>
      </w:r>
      <w:r w:rsidR="001975A0">
        <w:t xml:space="preserve"> is that they</w:t>
      </w:r>
      <w:r w:rsidR="00133FF0">
        <w:t xml:space="preserve"> demon</w:t>
      </w:r>
      <w:r w:rsidR="005959DE">
        <w:t>s</w:t>
      </w:r>
      <w:r w:rsidR="00133FF0">
        <w:t>tr</w:t>
      </w:r>
      <w:r w:rsidR="005959DE">
        <w:t>a</w:t>
      </w:r>
      <w:r w:rsidR="00133FF0">
        <w:t>te that one of the most fast-develop</w:t>
      </w:r>
      <w:r w:rsidR="00410EF1">
        <w:t>ing</w:t>
      </w:r>
      <w:r w:rsidR="00133FF0">
        <w:t xml:space="preserve"> areas of the law of negligence </w:t>
      </w:r>
      <w:r w:rsidR="004D4CB2">
        <w:t xml:space="preserve">at present </w:t>
      </w:r>
      <w:r w:rsidR="00133FF0">
        <w:t xml:space="preserve">concerns the </w:t>
      </w:r>
      <w:r w:rsidR="009F037D">
        <w:t xml:space="preserve">scope and extent of this and other exceptions to the general rule that there is no liability in tort for </w:t>
      </w:r>
      <w:r w:rsidR="006B2522">
        <w:t xml:space="preserve">harm caused by </w:t>
      </w:r>
      <w:r w:rsidR="009F037D">
        <w:t>the intervention of third parties.</w:t>
      </w:r>
      <w:r w:rsidR="00B42489">
        <w:t xml:space="preserve"> </w:t>
      </w:r>
      <w:r w:rsidR="006B2522">
        <w:t>Th</w:t>
      </w:r>
      <w:r w:rsidR="00397169">
        <w:t>at</w:t>
      </w:r>
      <w:r w:rsidR="006B2522">
        <w:t xml:space="preserve"> is </w:t>
      </w:r>
      <w:r w:rsidR="00B42489">
        <w:t>a point also emphasised in</w:t>
      </w:r>
      <w:r w:rsidR="00226F21">
        <w:t xml:space="preserve"> Lord Reed’s judgment in </w:t>
      </w:r>
      <w:r w:rsidR="00B42489">
        <w:t xml:space="preserve"> </w:t>
      </w:r>
      <w:r w:rsidR="00B42489" w:rsidRPr="00B42489">
        <w:rPr>
          <w:i/>
          <w:iCs/>
        </w:rPr>
        <w:t>Poole</w:t>
      </w:r>
      <w:r w:rsidR="00B42489">
        <w:t>.</w:t>
      </w:r>
    </w:p>
    <w:p w14:paraId="3F5DF9E4" w14:textId="3F5767A8" w:rsidR="00C64ECC" w:rsidRDefault="00BC2F94" w:rsidP="00AB117A">
      <w:pPr>
        <w:pStyle w:val="ParaLevel1"/>
      </w:pPr>
      <w:r>
        <w:t xml:space="preserve">Mr </w:t>
      </w:r>
      <w:proofErr w:type="spellStart"/>
      <w:r>
        <w:t>Hermer’s</w:t>
      </w:r>
      <w:proofErr w:type="spellEnd"/>
      <w:r>
        <w:t xml:space="preserve"> </w:t>
      </w:r>
      <w:r w:rsidR="0068625E">
        <w:t>route 2</w:t>
      </w:r>
      <w:r>
        <w:t xml:space="preserve"> is </w:t>
      </w:r>
      <w:r w:rsidR="001E03C0">
        <w:t>based</w:t>
      </w:r>
      <w:r w:rsidR="0068625E">
        <w:t xml:space="preserve"> on the proposition that</w:t>
      </w:r>
      <w:r>
        <w:t xml:space="preserve"> </w:t>
      </w:r>
      <w:r w:rsidR="001E03C0">
        <w:t xml:space="preserve">this is not a case where the </w:t>
      </w:r>
      <w:r w:rsidR="00950003">
        <w:t>Appellant</w:t>
      </w:r>
      <w:r w:rsidR="001E03C0">
        <w:t xml:space="preserve"> failed to make things better; he submitted that </w:t>
      </w:r>
      <w:r>
        <w:t xml:space="preserve">the </w:t>
      </w:r>
      <w:r w:rsidR="00950003">
        <w:t>Appellant</w:t>
      </w:r>
      <w:r>
        <w:t xml:space="preserve"> </w:t>
      </w:r>
      <w:r w:rsidR="008A338B">
        <w:t xml:space="preserve">here </w:t>
      </w:r>
      <w:r w:rsidR="005C235B">
        <w:t xml:space="preserve">made things worse. He </w:t>
      </w:r>
      <w:r w:rsidR="00255E1D">
        <w:t>argued</w:t>
      </w:r>
      <w:r w:rsidR="005C235B">
        <w:t xml:space="preserve"> that the </w:t>
      </w:r>
      <w:r w:rsidR="00950003">
        <w:t>Appellant</w:t>
      </w:r>
      <w:r w:rsidR="005C235B">
        <w:t xml:space="preserve"> </w:t>
      </w:r>
      <w:r w:rsidR="00233260">
        <w:t>created the danger</w:t>
      </w:r>
      <w:r w:rsidR="003F24F7">
        <w:t xml:space="preserve"> by</w:t>
      </w:r>
      <w:r w:rsidR="00233260">
        <w:t xml:space="preserve"> d</w:t>
      </w:r>
      <w:r w:rsidR="00F76C01">
        <w:t>e</w:t>
      </w:r>
      <w:r w:rsidR="00233260">
        <w:t xml:space="preserve">ciding that the vessel was to be broken </w:t>
      </w:r>
      <w:r w:rsidR="00113632">
        <w:t xml:space="preserve">up </w:t>
      </w:r>
      <w:r w:rsidR="00233260">
        <w:t xml:space="preserve">in </w:t>
      </w:r>
      <w:proofErr w:type="spellStart"/>
      <w:r w:rsidR="00233260">
        <w:t>Chattogram</w:t>
      </w:r>
      <w:proofErr w:type="spellEnd"/>
      <w:r w:rsidR="003F24F7">
        <w:t>,</w:t>
      </w:r>
      <w:r w:rsidR="00F76C01">
        <w:t xml:space="preserve"> where the working practices were so </w:t>
      </w:r>
      <w:r w:rsidR="00255E1D">
        <w:t xml:space="preserve">notoriously </w:t>
      </w:r>
      <w:r w:rsidR="00F76C01">
        <w:t>unsafe.</w:t>
      </w:r>
      <w:r w:rsidR="00336609">
        <w:t xml:space="preserve"> </w:t>
      </w:r>
      <w:r w:rsidR="003E5F1C">
        <w:t>He said that t</w:t>
      </w:r>
      <w:r w:rsidR="00DE2666">
        <w:t xml:space="preserve">he </w:t>
      </w:r>
      <w:r w:rsidR="00950003">
        <w:t>Appellant</w:t>
      </w:r>
      <w:r w:rsidR="00DE2666">
        <w:t xml:space="preserve"> brought about the deceased’s death because, in the circumstances, that death was no</w:t>
      </w:r>
      <w:r w:rsidR="003C0EF0">
        <w:t>t</w:t>
      </w:r>
      <w:r w:rsidR="00DE2666">
        <w:t xml:space="preserve"> a mere possibility</w:t>
      </w:r>
      <w:r w:rsidR="00994FDE">
        <w:t xml:space="preserve"> but a probability.</w:t>
      </w:r>
    </w:p>
    <w:p w14:paraId="5C459FA1" w14:textId="37BE52FF" w:rsidR="00994FDE" w:rsidRDefault="00994FDE" w:rsidP="00AB117A">
      <w:pPr>
        <w:pStyle w:val="ParaLevel1"/>
      </w:pPr>
      <w:r>
        <w:lastRenderedPageBreak/>
        <w:t xml:space="preserve">This second way of putting the duty of care is again not straightforward. </w:t>
      </w:r>
      <w:r w:rsidR="00610672">
        <w:t xml:space="preserve">The </w:t>
      </w:r>
      <w:r w:rsidR="002C2415">
        <w:t>quartet</w:t>
      </w:r>
      <w:r w:rsidR="00610672">
        <w:t xml:space="preserve"> of decisions in </w:t>
      </w:r>
      <w:r w:rsidR="00610672">
        <w:rPr>
          <w:i/>
        </w:rPr>
        <w:t>Hartwell</w:t>
      </w:r>
      <w:r w:rsidR="00610672">
        <w:t xml:space="preserve">, </w:t>
      </w:r>
      <w:r w:rsidR="00610672">
        <w:rPr>
          <w:i/>
        </w:rPr>
        <w:t>Mitchell</w:t>
      </w:r>
      <w:r w:rsidR="00610672">
        <w:t xml:space="preserve">, </w:t>
      </w:r>
      <w:r w:rsidR="00666A25">
        <w:rPr>
          <w:i/>
        </w:rPr>
        <w:t>Michael</w:t>
      </w:r>
      <w:r w:rsidR="002C2415">
        <w:rPr>
          <w:i/>
        </w:rPr>
        <w:t xml:space="preserve"> </w:t>
      </w:r>
      <w:r w:rsidR="002C2415" w:rsidRPr="002C2415">
        <w:rPr>
          <w:iCs/>
        </w:rPr>
        <w:t>and</w:t>
      </w:r>
      <w:r w:rsidR="002C2415">
        <w:rPr>
          <w:i/>
        </w:rPr>
        <w:t xml:space="preserve"> Robinson</w:t>
      </w:r>
      <w:r w:rsidR="00666A25">
        <w:t xml:space="preserve"> demonstrate the restricted circumstances in which </w:t>
      </w:r>
      <w:r w:rsidR="00262060">
        <w:t xml:space="preserve">a defendant will be liable </w:t>
      </w:r>
      <w:r w:rsidR="003E5F1C">
        <w:t xml:space="preserve">in tort for damage caused by </w:t>
      </w:r>
      <w:r w:rsidR="00262060">
        <w:t xml:space="preserve">the intervention of </w:t>
      </w:r>
      <w:r w:rsidR="001B3070">
        <w:t>a third party, and that it will only be in a</w:t>
      </w:r>
      <w:r w:rsidR="00703C6A">
        <w:t xml:space="preserve"> relatively extreme case that </w:t>
      </w:r>
      <w:r w:rsidR="00666A25">
        <w:t xml:space="preserve">the </w:t>
      </w:r>
      <w:r w:rsidR="002A39F6">
        <w:t>‘</w:t>
      </w:r>
      <w:r w:rsidR="00666A25">
        <w:t>creation of danger</w:t>
      </w:r>
      <w:r w:rsidR="002A39F6">
        <w:t>’</w:t>
      </w:r>
      <w:r w:rsidR="00666A25">
        <w:t xml:space="preserve"> exception </w:t>
      </w:r>
      <w:r w:rsidR="00F703E1">
        <w:t>will operate</w:t>
      </w:r>
      <w:r w:rsidR="00666A25">
        <w:t xml:space="preserve">. Much will turn on the precise nature </w:t>
      </w:r>
      <w:r w:rsidR="00A17F9B">
        <w:t xml:space="preserve">and extent of the danger said to have been created. </w:t>
      </w:r>
      <w:r w:rsidR="005511BA">
        <w:t>Fundamental questions</w:t>
      </w:r>
      <w:r w:rsidR="00FA4301">
        <w:t xml:space="preserve"> therefore</w:t>
      </w:r>
      <w:r w:rsidR="005511BA">
        <w:t xml:space="preserve"> arise</w:t>
      </w:r>
      <w:r w:rsidR="008A3D76">
        <w:t>: c</w:t>
      </w:r>
      <w:r w:rsidR="00A17F9B">
        <w:t xml:space="preserve">an it really be said that a </w:t>
      </w:r>
      <w:r w:rsidR="00D45262">
        <w:t>large</w:t>
      </w:r>
      <w:r w:rsidR="00A17F9B">
        <w:t xml:space="preserve"> oil tanker was the equivalent of the loaded gun in </w:t>
      </w:r>
      <w:r w:rsidR="00A17F9B">
        <w:rPr>
          <w:i/>
        </w:rPr>
        <w:t>Hartwell</w:t>
      </w:r>
      <w:r w:rsidR="00A17F9B">
        <w:t>?</w:t>
      </w:r>
      <w:r w:rsidR="00D570DE">
        <w:t xml:space="preserve"> </w:t>
      </w:r>
      <w:r w:rsidR="00BC3133">
        <w:t xml:space="preserve">Did the </w:t>
      </w:r>
      <w:r w:rsidR="00950003">
        <w:t>Appellant</w:t>
      </w:r>
      <w:r w:rsidR="00BC3133">
        <w:t xml:space="preserve"> “create a danger of harm which would </w:t>
      </w:r>
      <w:r w:rsidR="008577E2">
        <w:t xml:space="preserve">not otherwise have existed” as per </w:t>
      </w:r>
      <w:r w:rsidR="008577E2" w:rsidRPr="008577E2">
        <w:rPr>
          <w:i/>
          <w:iCs/>
        </w:rPr>
        <w:t>Robinson</w:t>
      </w:r>
      <w:r w:rsidR="001B6CC4">
        <w:t xml:space="preserve">, simply by sending the vessel to </w:t>
      </w:r>
      <w:proofErr w:type="spellStart"/>
      <w:r w:rsidR="001B6CC4">
        <w:t>Chattogram</w:t>
      </w:r>
      <w:proofErr w:type="spellEnd"/>
      <w:r w:rsidR="001B6CC4">
        <w:t>?</w:t>
      </w:r>
    </w:p>
    <w:p w14:paraId="0A6EEE1A" w14:textId="046C1E5C" w:rsidR="005152C4" w:rsidRDefault="00FA4301" w:rsidP="00AB117A">
      <w:pPr>
        <w:pStyle w:val="ParaLevel1"/>
      </w:pPr>
      <w:r>
        <w:t>However</w:t>
      </w:r>
      <w:r w:rsidR="00EB6D29">
        <w:t xml:space="preserve">, whilst I do not underestimate the hurdles that Mr </w:t>
      </w:r>
      <w:proofErr w:type="spellStart"/>
      <w:r w:rsidR="00EB6D29">
        <w:t>Hermer’s</w:t>
      </w:r>
      <w:proofErr w:type="spellEnd"/>
      <w:r w:rsidR="00EB6D29">
        <w:t xml:space="preserve"> route 2 will face at trial, I consider that this way of putting the claim is arguable</w:t>
      </w:r>
      <w:r w:rsidR="008F5F17">
        <w:t>,</w:t>
      </w:r>
      <w:r w:rsidR="008A3D76">
        <w:t xml:space="preserve"> and not fanciful</w:t>
      </w:r>
      <w:r w:rsidR="00EB6D29">
        <w:t xml:space="preserve">. </w:t>
      </w:r>
      <w:r w:rsidR="00B47207">
        <w:t>The ‘creation of danger’ is a recognised exception to the usual ru</w:t>
      </w:r>
      <w:r w:rsidR="008160C8">
        <w:t xml:space="preserve">le </w:t>
      </w:r>
      <w:r w:rsidR="00190A5A">
        <w:t xml:space="preserve">as to the intervention of third parties </w:t>
      </w:r>
      <w:r w:rsidR="008160C8">
        <w:t xml:space="preserve">which may give rise to a duty of care. </w:t>
      </w:r>
      <w:r w:rsidR="002315C3">
        <w:t>I consider that t</w:t>
      </w:r>
      <w:r w:rsidR="008B03EF">
        <w:t xml:space="preserve">he </w:t>
      </w:r>
      <w:r w:rsidR="00664E0C">
        <w:t>assum</w:t>
      </w:r>
      <w:r w:rsidR="00743C6E">
        <w:t>ptions</w:t>
      </w:r>
      <w:r w:rsidR="00664E0C">
        <w:t xml:space="preserve"> in Section 5 above </w:t>
      </w:r>
      <w:r w:rsidR="00F3410D">
        <w:t>are capable of</w:t>
      </w:r>
      <w:r w:rsidR="00664E0C">
        <w:t xml:space="preserve"> </w:t>
      </w:r>
      <w:r w:rsidR="00574C23">
        <w:t>trigger</w:t>
      </w:r>
      <w:r w:rsidR="00F3410D">
        <w:t>ing</w:t>
      </w:r>
      <w:r w:rsidR="00574C23">
        <w:t xml:space="preserve"> that exception</w:t>
      </w:r>
      <w:r w:rsidR="00D01398">
        <w:t xml:space="preserve">: the </w:t>
      </w:r>
      <w:r w:rsidR="00950003">
        <w:t>Appellant</w:t>
      </w:r>
      <w:r w:rsidR="00D01398">
        <w:t xml:space="preserve"> </w:t>
      </w:r>
      <w:r w:rsidR="00C20FE6">
        <w:t xml:space="preserve">arguably played an active </w:t>
      </w:r>
      <w:r w:rsidR="006753E4">
        <w:t>role by sending the vessel to Bangladesh</w:t>
      </w:r>
      <w:r w:rsidR="00F727D3">
        <w:t xml:space="preserve">, </w:t>
      </w:r>
      <w:r w:rsidR="00D01398">
        <w:t>knowingly expos</w:t>
      </w:r>
      <w:r w:rsidR="00F727D3">
        <w:t>ing</w:t>
      </w:r>
      <w:r w:rsidR="00D01398">
        <w:t xml:space="preserve"> </w:t>
      </w:r>
      <w:r w:rsidR="002947C2">
        <w:t xml:space="preserve">workers </w:t>
      </w:r>
      <w:r w:rsidR="00F727D3">
        <w:t>(</w:t>
      </w:r>
      <w:r w:rsidR="002947C2">
        <w:t xml:space="preserve">such as </w:t>
      </w:r>
      <w:r w:rsidR="00D01398">
        <w:t>the deceased</w:t>
      </w:r>
      <w:r w:rsidR="00F727D3">
        <w:t>)</w:t>
      </w:r>
      <w:r w:rsidR="00D01398">
        <w:t xml:space="preserve"> to </w:t>
      </w:r>
      <w:r w:rsidR="006D6A1C">
        <w:t xml:space="preserve">the </w:t>
      </w:r>
      <w:r w:rsidR="00E37C1E">
        <w:t>significant</w:t>
      </w:r>
      <w:r w:rsidR="006D6A1C">
        <w:t xml:space="preserve"> danger</w:t>
      </w:r>
      <w:r w:rsidR="002947C2">
        <w:t>s</w:t>
      </w:r>
      <w:r w:rsidR="006D6A1C">
        <w:t xml:space="preserve"> which working on th</w:t>
      </w:r>
      <w:r w:rsidR="009D7EE3">
        <w:t>is large</w:t>
      </w:r>
      <w:r w:rsidR="006D6A1C">
        <w:t xml:space="preserve"> vessel in </w:t>
      </w:r>
      <w:proofErr w:type="spellStart"/>
      <w:r w:rsidR="006D6A1C">
        <w:t>Chattogram</w:t>
      </w:r>
      <w:proofErr w:type="spellEnd"/>
      <w:r w:rsidR="006D6A1C">
        <w:t xml:space="preserve"> </w:t>
      </w:r>
      <w:r w:rsidR="002947C2">
        <w:t>entailed</w:t>
      </w:r>
      <w:r w:rsidR="00E37C1E">
        <w:t>.</w:t>
      </w:r>
      <w:r w:rsidR="002947C2">
        <w:t xml:space="preserve"> </w:t>
      </w:r>
      <w:r w:rsidR="00721EC7">
        <w:t xml:space="preserve">That might render the vessel </w:t>
      </w:r>
      <w:r w:rsidR="00142C73">
        <w:t xml:space="preserve">and its demolition </w:t>
      </w:r>
      <w:r w:rsidR="00023FA0">
        <w:t xml:space="preserve">dangerous in a way that the large empty cinema in </w:t>
      </w:r>
      <w:r w:rsidR="00023FA0" w:rsidRPr="00023FA0">
        <w:rPr>
          <w:i/>
          <w:iCs/>
        </w:rPr>
        <w:t>Smith</w:t>
      </w:r>
      <w:r w:rsidR="00023FA0">
        <w:t xml:space="preserve"> was not. </w:t>
      </w:r>
      <w:r w:rsidR="00B45B83">
        <w:t xml:space="preserve">The </w:t>
      </w:r>
      <w:r w:rsidR="00A30C68">
        <w:t>Zuma</w:t>
      </w:r>
      <w:r w:rsidR="00B45B83">
        <w:t xml:space="preserve"> Yard</w:t>
      </w:r>
      <w:r w:rsidR="002947C2">
        <w:t xml:space="preserve">’s failure to provide any </w:t>
      </w:r>
      <w:r w:rsidR="00274D11">
        <w:t xml:space="preserve">safety harnesses </w:t>
      </w:r>
      <w:r w:rsidR="00E37C1E">
        <w:t xml:space="preserve">or any other proper </w:t>
      </w:r>
      <w:r w:rsidR="00817340">
        <w:t>equipment</w:t>
      </w:r>
      <w:r w:rsidR="00923996">
        <w:t>,</w:t>
      </w:r>
      <w:r w:rsidR="00141E68">
        <w:t xml:space="preserve"> and the t</w:t>
      </w:r>
      <w:r w:rsidR="00747E7E">
        <w:t>r</w:t>
      </w:r>
      <w:r w:rsidR="00141E68">
        <w:t xml:space="preserve">agic consequences of </w:t>
      </w:r>
      <w:r w:rsidR="00923996">
        <w:t xml:space="preserve">their </w:t>
      </w:r>
      <w:r w:rsidR="00141E68">
        <w:t>not doing so</w:t>
      </w:r>
      <w:r w:rsidR="00923996">
        <w:t>,</w:t>
      </w:r>
      <w:r w:rsidR="00747E7E">
        <w:t xml:space="preserve"> were</w:t>
      </w:r>
      <w:r w:rsidR="00274D11">
        <w:t xml:space="preserve"> entirely predictable</w:t>
      </w:r>
      <w:r w:rsidR="00023FA0">
        <w:t xml:space="preserve">, </w:t>
      </w:r>
      <w:r w:rsidR="00A37A1D">
        <w:t xml:space="preserve">perhaps even more than the </w:t>
      </w:r>
      <w:r w:rsidR="008F09E7">
        <w:t xml:space="preserve">likelihood of mischief by the </w:t>
      </w:r>
      <w:r w:rsidR="00747E7E">
        <w:t>B</w:t>
      </w:r>
      <w:r w:rsidR="008F09E7">
        <w:t xml:space="preserve">orstal boys in </w:t>
      </w:r>
      <w:r w:rsidR="000E410B" w:rsidRPr="000E410B">
        <w:rPr>
          <w:i/>
          <w:iCs/>
        </w:rPr>
        <w:t>D</w:t>
      </w:r>
      <w:r w:rsidR="008F09E7" w:rsidRPr="000E410B">
        <w:rPr>
          <w:i/>
          <w:iCs/>
        </w:rPr>
        <w:t>orset Yacht</w:t>
      </w:r>
      <w:r w:rsidR="008F09E7">
        <w:t xml:space="preserve"> </w:t>
      </w:r>
      <w:r w:rsidR="000E410B">
        <w:t xml:space="preserve">or the risk of misuse of the gun in </w:t>
      </w:r>
      <w:r w:rsidR="000E410B" w:rsidRPr="000E410B">
        <w:rPr>
          <w:i/>
          <w:iCs/>
        </w:rPr>
        <w:t>Hartwell</w:t>
      </w:r>
      <w:r w:rsidR="00274D11">
        <w:t xml:space="preserve">. </w:t>
      </w:r>
    </w:p>
    <w:p w14:paraId="1AF61175" w14:textId="3E24B33C" w:rsidR="004D6EDD" w:rsidRDefault="003963D8" w:rsidP="00AB117A">
      <w:pPr>
        <w:pStyle w:val="ParaLevel1"/>
      </w:pPr>
      <w:r>
        <w:t>This</w:t>
      </w:r>
      <w:r w:rsidR="00187844">
        <w:t xml:space="preserve"> </w:t>
      </w:r>
      <w:r w:rsidR="00817340">
        <w:t xml:space="preserve">may </w:t>
      </w:r>
      <w:r w:rsidR="007C473D">
        <w:t>properly be describe</w:t>
      </w:r>
      <w:r w:rsidR="00285898">
        <w:t>d</w:t>
      </w:r>
      <w:r w:rsidR="007C473D">
        <w:t xml:space="preserve"> as </w:t>
      </w:r>
      <w:r w:rsidR="00187844">
        <w:t>a</w:t>
      </w:r>
      <w:r w:rsidR="007C473D">
        <w:t>n unusual</w:t>
      </w:r>
      <w:r w:rsidR="001F47C9">
        <w:t xml:space="preserve"> extension of an existing </w:t>
      </w:r>
      <w:r w:rsidR="00817340">
        <w:t>category of cases where a duty has been found</w:t>
      </w:r>
      <w:r w:rsidR="001F47C9">
        <w:t xml:space="preserve">, but it would not be an entirely new basis of tortious liability. </w:t>
      </w:r>
      <w:r w:rsidR="005152C4">
        <w:t xml:space="preserve">Moreover, the </w:t>
      </w:r>
      <w:r w:rsidR="00950003">
        <w:t>Respondent</w:t>
      </w:r>
      <w:r w:rsidR="005152C4">
        <w:t>’s case, when reduced to its basic ingredients, is that</w:t>
      </w:r>
      <w:r w:rsidR="00857350">
        <w:t>,</w:t>
      </w:r>
      <w:r w:rsidR="005152C4">
        <w:t xml:space="preserve"> not only is there the necessary foreseeability, but there is also a relationship of proximity between the </w:t>
      </w:r>
      <w:r w:rsidR="00950003">
        <w:t>Appellant</w:t>
      </w:r>
      <w:r w:rsidR="005152C4">
        <w:t xml:space="preserve"> and those who might foreseeably be injured by the danger created by (or inherent in) the </w:t>
      </w:r>
      <w:r w:rsidR="00950003">
        <w:t>Appellant</w:t>
      </w:r>
      <w:r w:rsidR="005152C4">
        <w:t xml:space="preserve">’s decision to sell to </w:t>
      </w:r>
      <w:proofErr w:type="spellStart"/>
      <w:r w:rsidR="005152C4">
        <w:t>Hsejar</w:t>
      </w:r>
      <w:proofErr w:type="spellEnd"/>
      <w:r w:rsidR="005152C4">
        <w:t>.</w:t>
      </w:r>
      <w:r w:rsidR="00857350">
        <w:t xml:space="preserve"> In my view, by reference to the authorities</w:t>
      </w:r>
      <w:r w:rsidR="007B4078">
        <w:t xml:space="preserve"> noted above</w:t>
      </w:r>
      <w:r w:rsidR="00857350">
        <w:t>, such a case is at least arguable.</w:t>
      </w:r>
    </w:p>
    <w:p w14:paraId="7BF2AD61" w14:textId="2165D456" w:rsidR="00BD1A76" w:rsidRDefault="00BD1A76" w:rsidP="00AB117A">
      <w:pPr>
        <w:pStyle w:val="ParaLevel1"/>
      </w:pPr>
      <w:r>
        <w:t xml:space="preserve">I have </w:t>
      </w:r>
      <w:r w:rsidR="005045EC">
        <w:t xml:space="preserve">some </w:t>
      </w:r>
      <w:r>
        <w:t>sympathy with Mr Bright’s twin submissions</w:t>
      </w:r>
      <w:r w:rsidR="009561AB">
        <w:t xml:space="preserve"> on the </w:t>
      </w:r>
      <w:r w:rsidR="00523BA0">
        <w:t>practicalities of all this</w:t>
      </w:r>
      <w:r>
        <w:t xml:space="preserve"> (that the </w:t>
      </w:r>
      <w:r w:rsidR="00950003">
        <w:t>Appellant</w:t>
      </w:r>
      <w:r>
        <w:t xml:space="preserve"> c</w:t>
      </w:r>
      <w:r w:rsidR="006A20C9">
        <w:t>annot</w:t>
      </w:r>
      <w:r>
        <w:t xml:space="preserve"> be </w:t>
      </w:r>
      <w:r w:rsidR="006A20C9">
        <w:t xml:space="preserve">held to be </w:t>
      </w:r>
      <w:r>
        <w:t xml:space="preserve">the </w:t>
      </w:r>
      <w:r w:rsidR="00584C27">
        <w:t xml:space="preserve">shipbreaking world’s policeman and that, if there was a duty </w:t>
      </w:r>
      <w:r w:rsidR="00C004B3">
        <w:t xml:space="preserve">of the kind alleged </w:t>
      </w:r>
      <w:r w:rsidR="00584C27">
        <w:t xml:space="preserve">here, the ramifications </w:t>
      </w:r>
      <w:r w:rsidR="0072794E">
        <w:t>might</w:t>
      </w:r>
      <w:r w:rsidR="00584C27">
        <w:t xml:space="preserve"> be extreme</w:t>
      </w:r>
      <w:r w:rsidR="0072794E">
        <w:t xml:space="preserve">ly </w:t>
      </w:r>
      <w:r w:rsidR="00C004B3">
        <w:t>far-reaching</w:t>
      </w:r>
      <w:r w:rsidR="00584C27">
        <w:t>)</w:t>
      </w:r>
      <w:r w:rsidR="0072794E">
        <w:t xml:space="preserve">, but it seems to me that they go to </w:t>
      </w:r>
      <w:r w:rsidR="00BA0468">
        <w:t xml:space="preserve">a </w:t>
      </w:r>
      <w:r w:rsidR="0072794E">
        <w:t>consideration</w:t>
      </w:r>
      <w:r w:rsidR="00BA0468">
        <w:t xml:space="preserve"> of whether, if the alleged duty is found to fall outside </w:t>
      </w:r>
      <w:r w:rsidR="00B20F56">
        <w:t xml:space="preserve">any established category, it would </w:t>
      </w:r>
      <w:r w:rsidR="00C06AB8">
        <w:t xml:space="preserve">still </w:t>
      </w:r>
      <w:r w:rsidR="00B20F56">
        <w:t xml:space="preserve">be fair, just and reasonable to find the </w:t>
      </w:r>
      <w:r w:rsidR="00994EE5">
        <w:t xml:space="preserve">existence of the </w:t>
      </w:r>
      <w:r w:rsidR="00B20F56">
        <w:t>duty</w:t>
      </w:r>
      <w:r w:rsidR="005F7F9D">
        <w:t xml:space="preserve"> in this case. </w:t>
      </w:r>
      <w:r w:rsidR="006A20C9">
        <w:t>The authorities make plain that s</w:t>
      </w:r>
      <w:r w:rsidR="005F7F9D">
        <w:t xml:space="preserve">uch an issue is not </w:t>
      </w:r>
      <w:r w:rsidR="001A15C5">
        <w:t>to be decided at</w:t>
      </w:r>
      <w:r w:rsidR="005F7F9D">
        <w:t xml:space="preserve"> an interim </w:t>
      </w:r>
      <w:r w:rsidR="00780F42">
        <w:t>stage</w:t>
      </w:r>
      <w:r w:rsidR="005F7F9D">
        <w:t xml:space="preserve"> like this.</w:t>
      </w:r>
    </w:p>
    <w:p w14:paraId="358CD1AF" w14:textId="0BB933F0" w:rsidR="00EB6D29" w:rsidRDefault="00AB3A2E" w:rsidP="00AB117A">
      <w:pPr>
        <w:pStyle w:val="ParaLevel1"/>
      </w:pPr>
      <w:r>
        <w:t xml:space="preserve">For completeness, I should deal with one of the </w:t>
      </w:r>
      <w:r w:rsidR="00802A1F">
        <w:t xml:space="preserve">aspects of the appeal to which some time </w:t>
      </w:r>
      <w:r w:rsidR="004A6D9F">
        <w:t xml:space="preserve">and effort </w:t>
      </w:r>
      <w:r w:rsidR="00802A1F">
        <w:t>was devoted</w:t>
      </w:r>
      <w:r w:rsidR="00780F42">
        <w:t xml:space="preserve"> on both sides</w:t>
      </w:r>
      <w:r w:rsidR="00802A1F">
        <w:t xml:space="preserve">. </w:t>
      </w:r>
      <w:r w:rsidR="00585018">
        <w:t>It was submitted on behalf of t</w:t>
      </w:r>
      <w:r w:rsidR="00C50398">
        <w:t xml:space="preserve">he </w:t>
      </w:r>
      <w:r w:rsidR="00950003">
        <w:t>Respondent</w:t>
      </w:r>
      <w:r w:rsidR="00C50398">
        <w:t xml:space="preserve"> that the danger of harm </w:t>
      </w:r>
      <w:r w:rsidR="001F3CEA">
        <w:t xml:space="preserve">would not otherwise have existed </w:t>
      </w:r>
      <w:r w:rsidR="00314933">
        <w:t xml:space="preserve">(as per </w:t>
      </w:r>
      <w:r w:rsidR="00314933" w:rsidRPr="00314933">
        <w:rPr>
          <w:i/>
          <w:iCs/>
        </w:rPr>
        <w:t>Robinson</w:t>
      </w:r>
      <w:r w:rsidR="00314933">
        <w:t xml:space="preserve">) </w:t>
      </w:r>
      <w:r w:rsidR="001F3CEA">
        <w:t xml:space="preserve">if the </w:t>
      </w:r>
      <w:r w:rsidR="00950003">
        <w:t>Appellant</w:t>
      </w:r>
      <w:r w:rsidR="003810C6">
        <w:t xml:space="preserve"> had sold the vessel elsewhere. </w:t>
      </w:r>
      <w:r w:rsidR="004A6D9F">
        <w:t xml:space="preserve">For the reasons I have </w:t>
      </w:r>
      <w:r w:rsidR="00541825">
        <w:t xml:space="preserve">already </w:t>
      </w:r>
      <w:r w:rsidR="004A6D9F">
        <w:t>given, I consider t</w:t>
      </w:r>
      <w:r w:rsidR="00112DA6">
        <w:t>h</w:t>
      </w:r>
      <w:r w:rsidR="008121EB">
        <w:t>at</w:t>
      </w:r>
      <w:r w:rsidR="00D423A6">
        <w:t xml:space="preserve"> </w:t>
      </w:r>
      <w:r w:rsidR="004A6D9F">
        <w:t>to be</w:t>
      </w:r>
      <w:r w:rsidR="00D423A6">
        <w:t xml:space="preserve"> arguable</w:t>
      </w:r>
      <w:r w:rsidR="008121EB">
        <w:t>, but it</w:t>
      </w:r>
      <w:r w:rsidR="00112DA6">
        <w:t xml:space="preserve"> </w:t>
      </w:r>
      <w:r w:rsidR="00C06AB8">
        <w:t xml:space="preserve">is a proposition which </w:t>
      </w:r>
      <w:r w:rsidR="00721065">
        <w:t xml:space="preserve">also </w:t>
      </w:r>
      <w:r w:rsidR="00D423A6">
        <w:t>highlights</w:t>
      </w:r>
      <w:r w:rsidR="00112DA6">
        <w:t xml:space="preserve"> </w:t>
      </w:r>
      <w:r w:rsidR="00A314F8">
        <w:t>one of Mr Bright’s least persuasive submissions. H</w:t>
      </w:r>
      <w:r w:rsidR="00601772">
        <w:t>is</w:t>
      </w:r>
      <w:r w:rsidR="00A314F8">
        <w:t xml:space="preserve"> repeated complaint was that it was wholly unclear what else the </w:t>
      </w:r>
      <w:r w:rsidR="00950003">
        <w:t>Appellant</w:t>
      </w:r>
      <w:r w:rsidR="00A314F8">
        <w:t xml:space="preserve"> could have done, or should have done, to avoid the risks to the deceased. The answer to that </w:t>
      </w:r>
      <w:r w:rsidR="008F5F48">
        <w:t>lay</w:t>
      </w:r>
      <w:r w:rsidR="00A314F8">
        <w:t xml:space="preserve"> in the </w:t>
      </w:r>
      <w:r w:rsidR="00950003">
        <w:t>Respondent</w:t>
      </w:r>
      <w:r w:rsidR="007C34C7">
        <w:t xml:space="preserve">’s expert evidence, namely that the </w:t>
      </w:r>
      <w:r w:rsidR="00950003">
        <w:t>Appellant</w:t>
      </w:r>
      <w:r w:rsidR="007C34C7">
        <w:t xml:space="preserve"> could, and should, have </w:t>
      </w:r>
      <w:r w:rsidR="00D930F2">
        <w:t xml:space="preserve">insisted on the sale to a </w:t>
      </w:r>
      <w:r w:rsidR="00AE7BB0">
        <w:t xml:space="preserve">so-called ‘green’ </w:t>
      </w:r>
      <w:r w:rsidR="00D930F2">
        <w:t>yard</w:t>
      </w:r>
      <w:r w:rsidR="00AE7BB0">
        <w:t>,</w:t>
      </w:r>
      <w:r w:rsidR="00D930F2">
        <w:t xml:space="preserve"> where proper working practices were in place. The evidence was that there were a number of </w:t>
      </w:r>
      <w:r w:rsidR="00D930F2">
        <w:lastRenderedPageBreak/>
        <w:t>such yards round the world where this vessel could have</w:t>
      </w:r>
      <w:r w:rsidR="00567748">
        <w:t xml:space="preserve"> been safely demolished</w:t>
      </w:r>
      <w:r w:rsidR="001C2FCD">
        <w:t xml:space="preserve"> (see in particular paragraph 28 of the report of Nicholas Willis</w:t>
      </w:r>
      <w:r w:rsidR="009D299E">
        <w:t xml:space="preserve">, the </w:t>
      </w:r>
      <w:r w:rsidR="00950003">
        <w:t>Respondent</w:t>
      </w:r>
      <w:r w:rsidR="009D299E">
        <w:t>’s expert)</w:t>
      </w:r>
      <w:r w:rsidR="00567748">
        <w:t>.</w:t>
      </w:r>
    </w:p>
    <w:p w14:paraId="1AE27E58" w14:textId="31EF0F1F" w:rsidR="00315B10" w:rsidRDefault="00567748" w:rsidP="00AB117A">
      <w:pPr>
        <w:pStyle w:val="ParaLevel1"/>
      </w:pPr>
      <w:r>
        <w:t>How might that have been achieved</w:t>
      </w:r>
      <w:r w:rsidR="009E730E">
        <w:t>, Mr Bright asked</w:t>
      </w:r>
      <w:r w:rsidR="005D1517">
        <w:t xml:space="preserve"> rhetorically</w:t>
      </w:r>
      <w:r>
        <w:t xml:space="preserve">? </w:t>
      </w:r>
      <w:r w:rsidR="009E730E">
        <w:t>I</w:t>
      </w:r>
      <w:r w:rsidR="005D1517">
        <w:t>n my view, i</w:t>
      </w:r>
      <w:r w:rsidR="009E730E">
        <w:t>t</w:t>
      </w:r>
      <w:r>
        <w:t xml:space="preserve"> could have been achieved by the use of provisions within the </w:t>
      </w:r>
      <w:proofErr w:type="spellStart"/>
      <w:r>
        <w:t>Mo</w:t>
      </w:r>
      <w:r w:rsidR="0095229A">
        <w:t>A</w:t>
      </w:r>
      <w:proofErr w:type="spellEnd"/>
      <w:r w:rsidR="0095229A">
        <w:t xml:space="preserve"> which</w:t>
      </w:r>
      <w:r w:rsidR="005B6FA3">
        <w:t xml:space="preserve">, whilst recognising that there are three parties (the yard, the demolition contractor and the shipowner/seller), </w:t>
      </w:r>
      <w:r w:rsidR="000644A3">
        <w:t>could have endeavoured</w:t>
      </w:r>
      <w:r w:rsidR="00D85BB8">
        <w:t xml:space="preserve"> to link the </w:t>
      </w:r>
      <w:r w:rsidR="00291D73">
        <w:t xml:space="preserve">inter-party </w:t>
      </w:r>
      <w:r w:rsidR="00D85BB8">
        <w:t xml:space="preserve">payments to the delivery </w:t>
      </w:r>
      <w:r w:rsidR="001B10BD">
        <w:t>of the vessel to</w:t>
      </w:r>
      <w:r w:rsidR="00D85BB8">
        <w:t xml:space="preserve"> an approved yard</w:t>
      </w:r>
      <w:r w:rsidR="0095229A">
        <w:t xml:space="preserve">. </w:t>
      </w:r>
      <w:r w:rsidR="00423399">
        <w:t xml:space="preserve">Such an arrangement </w:t>
      </w:r>
      <w:r w:rsidR="001B10BD">
        <w:t>appears</w:t>
      </w:r>
      <w:r w:rsidR="00423399">
        <w:t xml:space="preserve"> not only feasible, it </w:t>
      </w:r>
      <w:r w:rsidR="001018EA">
        <w:t xml:space="preserve">also </w:t>
      </w:r>
      <w:r w:rsidR="00423399">
        <w:t xml:space="preserve">finds a </w:t>
      </w:r>
      <w:r w:rsidR="001018EA">
        <w:t>clear</w:t>
      </w:r>
      <w:r w:rsidR="00423399">
        <w:t xml:space="preserve"> echo in the </w:t>
      </w:r>
      <w:proofErr w:type="spellStart"/>
      <w:r w:rsidR="00423399">
        <w:t>MoA</w:t>
      </w:r>
      <w:proofErr w:type="spellEnd"/>
      <w:r w:rsidR="00423399">
        <w:t xml:space="preserve"> itself. Clause 22 impose</w:t>
      </w:r>
      <w:r w:rsidR="00EE6499">
        <w:t>d</w:t>
      </w:r>
      <w:r w:rsidR="00423399">
        <w:t xml:space="preserve"> an obligation on the buyer (in this case </w:t>
      </w:r>
      <w:proofErr w:type="spellStart"/>
      <w:r w:rsidR="00423399">
        <w:t>Hsejar</w:t>
      </w:r>
      <w:proofErr w:type="spellEnd"/>
      <w:r w:rsidR="00423399">
        <w:t>) to confirm that they would only sell to a yard that would perform the demolition “in accordance with good health and safety working practices…”</w:t>
      </w:r>
      <w:r w:rsidR="00940B99">
        <w:t xml:space="preserve"> </w:t>
      </w:r>
      <w:r w:rsidR="00F830F2">
        <w:t>I</w:t>
      </w:r>
      <w:r w:rsidR="00423399">
        <w:t xml:space="preserve">n other words, the inclusion of provisions </w:t>
      </w:r>
      <w:r w:rsidR="00EE6499">
        <w:t xml:space="preserve">requiring safe demolition </w:t>
      </w:r>
      <w:r w:rsidR="00D5307F">
        <w:t xml:space="preserve">in the contract </w:t>
      </w:r>
      <w:r w:rsidR="00EE6499">
        <w:t xml:space="preserve">of sale </w:t>
      </w:r>
      <w:r w:rsidR="003445E8">
        <w:t>wa</w:t>
      </w:r>
      <w:r w:rsidR="00423399">
        <w:t xml:space="preserve">s well within the reasonable control of the </w:t>
      </w:r>
      <w:r w:rsidR="00950003">
        <w:t>Appellant</w:t>
      </w:r>
      <w:r w:rsidR="00423399">
        <w:t>. The evidence was that clauses like clause 22 were standard</w:t>
      </w:r>
      <w:r w:rsidR="00456AC1">
        <w:t>, so</w:t>
      </w:r>
      <w:r w:rsidR="00652579">
        <w:t xml:space="preserve"> ensuring that they had</w:t>
      </w:r>
      <w:r w:rsidR="00456AC1">
        <w:t xml:space="preserve"> real force </w:t>
      </w:r>
      <w:r w:rsidR="00317F54">
        <w:t xml:space="preserve">might </w:t>
      </w:r>
      <w:r w:rsidR="00910AA9">
        <w:t xml:space="preserve">perhaps </w:t>
      </w:r>
      <w:r w:rsidR="00317F54">
        <w:t>become</w:t>
      </w:r>
      <w:r w:rsidR="00881CDB">
        <w:t xml:space="preserve"> </w:t>
      </w:r>
      <w:r w:rsidR="00315B10">
        <w:t>standard</w:t>
      </w:r>
      <w:r w:rsidR="00910AA9">
        <w:t xml:space="preserve"> too</w:t>
      </w:r>
      <w:r w:rsidR="00315B10">
        <w:t>.</w:t>
      </w:r>
    </w:p>
    <w:p w14:paraId="545F2A25" w14:textId="6A9398A6" w:rsidR="00F830F2" w:rsidRDefault="00315B10" w:rsidP="00AB117A">
      <w:pPr>
        <w:pStyle w:val="ParaLevel1"/>
      </w:pPr>
      <w:r>
        <w:t>The problem is that</w:t>
      </w:r>
      <w:r w:rsidR="004D7CA8">
        <w:t>, on the evidence,</w:t>
      </w:r>
      <w:r w:rsidR="00B410C1">
        <w:t xml:space="preserve"> </w:t>
      </w:r>
      <w:r w:rsidR="00423399">
        <w:t xml:space="preserve">both </w:t>
      </w:r>
      <w:proofErr w:type="spellStart"/>
      <w:r w:rsidR="00881CDB">
        <w:t>Hsejar</w:t>
      </w:r>
      <w:proofErr w:type="spellEnd"/>
      <w:r w:rsidR="00881CDB">
        <w:t xml:space="preserve">, </w:t>
      </w:r>
      <w:r w:rsidR="00B075D9">
        <w:t xml:space="preserve">the </w:t>
      </w:r>
      <w:r w:rsidR="00423399">
        <w:t>buyer</w:t>
      </w:r>
      <w:r w:rsidR="00881CDB">
        <w:t>,</w:t>
      </w:r>
      <w:r w:rsidR="00423399">
        <w:t xml:space="preserve"> and </w:t>
      </w:r>
      <w:r w:rsidR="00881CDB">
        <w:t xml:space="preserve">the </w:t>
      </w:r>
      <w:r w:rsidR="00950003">
        <w:t>Appellant</w:t>
      </w:r>
      <w:r w:rsidR="00881CDB">
        <w:t xml:space="preserve">, </w:t>
      </w:r>
      <w:r w:rsidR="00B075D9">
        <w:t xml:space="preserve">the </w:t>
      </w:r>
      <w:r w:rsidR="00423399">
        <w:t xml:space="preserve">seller </w:t>
      </w:r>
      <w:r w:rsidR="00B075D9">
        <w:t>of the vessel</w:t>
      </w:r>
      <w:r w:rsidR="00881CDB">
        <w:t>,</w:t>
      </w:r>
      <w:r w:rsidR="00B075D9">
        <w:t xml:space="preserve"> </w:t>
      </w:r>
      <w:r w:rsidR="00423399">
        <w:t xml:space="preserve">knew that </w:t>
      </w:r>
      <w:r w:rsidR="00B075D9">
        <w:t>clause</w:t>
      </w:r>
      <w:r w:rsidR="00002EE3">
        <w:t>s like clause</w:t>
      </w:r>
      <w:r w:rsidR="00B075D9">
        <w:t xml:space="preserve"> 22</w:t>
      </w:r>
      <w:r w:rsidR="00423399">
        <w:t xml:space="preserve"> would be</w:t>
      </w:r>
      <w:r w:rsidR="004F004D">
        <w:t xml:space="preserve"> entirely </w:t>
      </w:r>
      <w:r w:rsidR="00B075D9">
        <w:t xml:space="preserve"> </w:t>
      </w:r>
      <w:r w:rsidR="00DC1AA8">
        <w:t xml:space="preserve">ignored. That </w:t>
      </w:r>
      <w:r w:rsidR="00002EE3">
        <w:t>appears to be</w:t>
      </w:r>
      <w:r w:rsidR="00DC1AA8">
        <w:t xml:space="preserve"> part of the unhappy </w:t>
      </w:r>
      <w:r w:rsidR="00A21012">
        <w:t>reality</w:t>
      </w:r>
      <w:r w:rsidR="00DC1AA8">
        <w:t xml:space="preserve"> of the shipb</w:t>
      </w:r>
      <w:r w:rsidR="00A21012">
        <w:t>reak</w:t>
      </w:r>
      <w:r w:rsidR="00DC1AA8">
        <w:t>ing business</w:t>
      </w:r>
      <w:r w:rsidR="00B84993">
        <w:t>:</w:t>
      </w:r>
      <w:r w:rsidR="00E85BA1">
        <w:t xml:space="preserve"> </w:t>
      </w:r>
      <w:r w:rsidR="00DC1AA8">
        <w:t>everyone turn</w:t>
      </w:r>
      <w:r w:rsidR="00E85BA1">
        <w:t>s</w:t>
      </w:r>
      <w:r w:rsidR="00DC1AA8">
        <w:t xml:space="preserve"> a blind eye to what they kn</w:t>
      </w:r>
      <w:r w:rsidR="00E85BA1">
        <w:t>o</w:t>
      </w:r>
      <w:r w:rsidR="00DC1AA8">
        <w:t>w w</w:t>
      </w:r>
      <w:r w:rsidR="00E85BA1">
        <w:t>ill</w:t>
      </w:r>
      <w:r w:rsidR="00DC1AA8">
        <w:t xml:space="preserve"> </w:t>
      </w:r>
      <w:r w:rsidR="006907BB">
        <w:t>actually</w:t>
      </w:r>
      <w:r w:rsidR="00DC1AA8">
        <w:t xml:space="preserve"> happen.</w:t>
      </w:r>
      <w:r w:rsidR="005E4377">
        <w:t xml:space="preserve"> A seller in the position of the </w:t>
      </w:r>
      <w:r w:rsidR="00950003">
        <w:t>Appellant</w:t>
      </w:r>
      <w:r w:rsidR="005E4377">
        <w:t xml:space="preserve"> would have no interest in ensuring the performance of clause 22</w:t>
      </w:r>
      <w:r w:rsidR="006907BB">
        <w:t xml:space="preserve"> as it stands, and a buyer in the position </w:t>
      </w:r>
      <w:r w:rsidR="006650C5">
        <w:t xml:space="preserve">of </w:t>
      </w:r>
      <w:proofErr w:type="spellStart"/>
      <w:r w:rsidR="006650C5">
        <w:t>Hsejar</w:t>
      </w:r>
      <w:proofErr w:type="spellEnd"/>
      <w:r w:rsidR="006650C5">
        <w:t xml:space="preserve"> </w:t>
      </w:r>
      <w:r w:rsidR="00CF179D">
        <w:t xml:space="preserve">could </w:t>
      </w:r>
      <w:r w:rsidR="001D6511">
        <w:t xml:space="preserve">therefore </w:t>
      </w:r>
      <w:r w:rsidR="00CF179D">
        <w:t>be in breach of th</w:t>
      </w:r>
      <w:r w:rsidR="0012133F">
        <w:t>at</w:t>
      </w:r>
      <w:r w:rsidR="00CF179D">
        <w:t xml:space="preserve"> provision without </w:t>
      </w:r>
      <w:r w:rsidR="0012133F">
        <w:t xml:space="preserve">any sanction. Even if </w:t>
      </w:r>
      <w:r w:rsidR="007C50E3">
        <w:t>it</w:t>
      </w:r>
      <w:r w:rsidR="0012133F">
        <w:t xml:space="preserve"> was in breach</w:t>
      </w:r>
      <w:r w:rsidR="00B84993">
        <w:t xml:space="preserve"> of clause 22</w:t>
      </w:r>
      <w:r w:rsidR="0012133F">
        <w:t xml:space="preserve">, </w:t>
      </w:r>
      <w:r w:rsidR="007C50E3">
        <w:t>it</w:t>
      </w:r>
      <w:r w:rsidR="009F2BC5">
        <w:t xml:space="preserve"> would argue that</w:t>
      </w:r>
      <w:r w:rsidR="0012133F">
        <w:t xml:space="preserve"> the </w:t>
      </w:r>
      <w:r w:rsidR="009E7785">
        <w:t>seller</w:t>
      </w:r>
      <w:r w:rsidR="009F2BC5">
        <w:t xml:space="preserve"> had suffered no</w:t>
      </w:r>
      <w:r w:rsidR="009E7785">
        <w:t xml:space="preserve"> loss</w:t>
      </w:r>
      <w:r w:rsidR="007C50E3">
        <w:t xml:space="preserve"> as a result</w:t>
      </w:r>
      <w:r w:rsidR="00B84993">
        <w:t>.</w:t>
      </w:r>
      <w:r w:rsidR="009E7785">
        <w:t xml:space="preserve"> </w:t>
      </w:r>
      <w:r w:rsidR="007C50E3">
        <w:t>However,</w:t>
      </w:r>
      <w:r w:rsidR="005E4377">
        <w:t xml:space="preserve"> if the </w:t>
      </w:r>
      <w:r w:rsidR="00D17A56">
        <w:t>payment arrangements had been different</w:t>
      </w:r>
      <w:r w:rsidR="009E7785">
        <w:t xml:space="preserve">, </w:t>
      </w:r>
      <w:r w:rsidR="00D17A56">
        <w:t xml:space="preserve">then both buyer and seller would have had a very </w:t>
      </w:r>
      <w:r w:rsidR="009F2BC5">
        <w:t>real</w:t>
      </w:r>
      <w:r w:rsidR="00D17A56">
        <w:t xml:space="preserve"> interest in ensuring that provisions like clause 22 </w:t>
      </w:r>
      <w:r w:rsidR="0049197E">
        <w:t>were more than words on a piece of paper.</w:t>
      </w:r>
      <w:r w:rsidR="00D17A56">
        <w:t xml:space="preserve"> </w:t>
      </w:r>
    </w:p>
    <w:p w14:paraId="5D57954D" w14:textId="228258D1" w:rsidR="000C7C52" w:rsidRDefault="000C7C52" w:rsidP="00AB117A">
      <w:pPr>
        <w:pStyle w:val="ParaLevel1"/>
      </w:pPr>
      <w:r>
        <w:t xml:space="preserve">In this way, it is </w:t>
      </w:r>
      <w:r w:rsidR="000B5A48">
        <w:t xml:space="preserve">at least </w:t>
      </w:r>
      <w:r>
        <w:t xml:space="preserve">arguable that the </w:t>
      </w:r>
      <w:r w:rsidR="00950003">
        <w:t>Appellant</w:t>
      </w:r>
      <w:r>
        <w:t xml:space="preserve"> could have acted differently and that, if they had done, it </w:t>
      </w:r>
      <w:r w:rsidR="000B5A48">
        <w:t>might have made a real difference to the outcome.</w:t>
      </w:r>
    </w:p>
    <w:p w14:paraId="2251805D" w14:textId="293CE493" w:rsidR="00FF6AA0" w:rsidRDefault="00FF6AA0" w:rsidP="00AB117A">
      <w:pPr>
        <w:pStyle w:val="ParaLevel1"/>
      </w:pPr>
      <w:r>
        <w:t>T</w:t>
      </w:r>
      <w:r w:rsidR="008C4772">
        <w:t xml:space="preserve">here is one final point which favours the dismissal of the appeal on Ground 1. As I have endeavoured to show, claims based on a duty of care, in circumstances where the damage has been caused </w:t>
      </w:r>
      <w:r w:rsidR="00DF4D08">
        <w:t xml:space="preserve">by </w:t>
      </w:r>
      <w:r w:rsidR="008C4772">
        <w:t xml:space="preserve">a third party, are </w:t>
      </w:r>
      <w:r w:rsidR="008E08FF">
        <w:t>currently</w:t>
      </w:r>
      <w:r w:rsidR="008C4772">
        <w:t xml:space="preserve"> at the forefront of the development of the law of negligence. Th</w:t>
      </w:r>
      <w:r w:rsidR="00F11074">
        <w:t>e alleged duty in th</w:t>
      </w:r>
      <w:r w:rsidR="008C4772">
        <w:t xml:space="preserve">is case could certainly be regarded as being on the </w:t>
      </w:r>
      <w:r w:rsidR="004F3EB5">
        <w:t>edge of</w:t>
      </w:r>
      <w:r w:rsidR="00D701FB">
        <w:t xml:space="preserve"> that </w:t>
      </w:r>
      <w:r w:rsidR="004F3EB5">
        <w:t>development</w:t>
      </w:r>
      <w:r w:rsidR="00D701FB">
        <w:t xml:space="preserve">. </w:t>
      </w:r>
      <w:r w:rsidR="000D3397">
        <w:t>But in such</w:t>
      </w:r>
      <w:r w:rsidR="00D701FB">
        <w:t xml:space="preserve"> circumstances, I agree with the judge that, following </w:t>
      </w:r>
      <w:r w:rsidR="008D1427">
        <w:t xml:space="preserve">the principle in </w:t>
      </w:r>
      <w:r w:rsidR="008D1427">
        <w:rPr>
          <w:i/>
        </w:rPr>
        <w:t xml:space="preserve">Barrett </w:t>
      </w:r>
      <w:r w:rsidR="008D1427">
        <w:t xml:space="preserve">and </w:t>
      </w:r>
      <w:r w:rsidR="008D1427">
        <w:rPr>
          <w:i/>
        </w:rPr>
        <w:t xml:space="preserve">Vedanta, </w:t>
      </w:r>
      <w:r w:rsidR="008D1427">
        <w:t xml:space="preserve">it would </w:t>
      </w:r>
      <w:r w:rsidR="006931B9">
        <w:t>be in</w:t>
      </w:r>
      <w:r w:rsidR="008D1427">
        <w:t>appropriate</w:t>
      </w:r>
      <w:r w:rsidR="00540255">
        <w:t xml:space="preserve"> to strike out the claim based on the alleged duty of care</w:t>
      </w:r>
      <w:r w:rsidR="006931B9">
        <w:t xml:space="preserve"> on assum</w:t>
      </w:r>
      <w:r w:rsidR="006E240A">
        <w:t>ptions, in the absence of any findings of fact</w:t>
      </w:r>
      <w:r w:rsidR="00540255">
        <w:t>.</w:t>
      </w:r>
      <w:r w:rsidR="008C4772">
        <w:t xml:space="preserve"> </w:t>
      </w:r>
    </w:p>
    <w:p w14:paraId="64B72549" w14:textId="013506EB" w:rsidR="00A36D02" w:rsidRDefault="00B64E6E" w:rsidP="00AB117A">
      <w:pPr>
        <w:pStyle w:val="ParaLevel1"/>
      </w:pPr>
      <w:r>
        <w:t xml:space="preserve">Accordingly, for the reasons that I have given, I would uphold the judge’s conclusion that the alleged duty of care </w:t>
      </w:r>
      <w:r w:rsidR="00FE3B7A">
        <w:t xml:space="preserve">in the present case </w:t>
      </w:r>
      <w:r>
        <w:t>was not sus</w:t>
      </w:r>
      <w:r w:rsidR="00FD5F95">
        <w:t>ceptible to being struck out</w:t>
      </w:r>
      <w:r w:rsidR="00FE3B7A">
        <w:t>,</w:t>
      </w:r>
      <w:r w:rsidR="00FD5F95">
        <w:t xml:space="preserve"> or </w:t>
      </w:r>
      <w:r w:rsidR="00A36D02">
        <w:t xml:space="preserve">was so fanciful that it </w:t>
      </w:r>
      <w:r w:rsidR="00FD5F95">
        <w:t xml:space="preserve">should lead to summary judgment in favour of the </w:t>
      </w:r>
      <w:r w:rsidR="00950003">
        <w:t>Appellant</w:t>
      </w:r>
      <w:r w:rsidR="00FD5F95">
        <w:t xml:space="preserve">. </w:t>
      </w:r>
      <w:r w:rsidR="003E0041">
        <w:t xml:space="preserve">To the extent that it matters, I consider that route 2 has more chance of success than route 1, because it at least addresses head-on the potentially critical involvement of the </w:t>
      </w:r>
      <w:r w:rsidR="00440F43">
        <w:t xml:space="preserve">Zuma </w:t>
      </w:r>
      <w:r w:rsidR="003E0041">
        <w:t xml:space="preserve">Yard in the </w:t>
      </w:r>
      <w:r w:rsidR="002506AC">
        <w:t>death of</w:t>
      </w:r>
      <w:r w:rsidR="003E0041">
        <w:t xml:space="preserve"> the deceased</w:t>
      </w:r>
      <w:r w:rsidR="008E4451">
        <w:t>.</w:t>
      </w:r>
    </w:p>
    <w:p w14:paraId="6E5DED2D" w14:textId="391F677B" w:rsidR="008447EF" w:rsidRDefault="00FD5F95" w:rsidP="00AB117A">
      <w:pPr>
        <w:pStyle w:val="ParaLevel1"/>
      </w:pPr>
      <w:r>
        <w:t xml:space="preserve">However, </w:t>
      </w:r>
      <w:r w:rsidR="00E55153">
        <w:t xml:space="preserve">that is not the end of the appeal. </w:t>
      </w:r>
      <w:r w:rsidR="007F7EB4">
        <w:t xml:space="preserve">In order to avoid the striking out of the claim, </w:t>
      </w:r>
      <w:r w:rsidR="00D92A01">
        <w:t>t</w:t>
      </w:r>
      <w:r w:rsidR="00E55153">
        <w:t xml:space="preserve">he </w:t>
      </w:r>
      <w:r w:rsidR="00950003">
        <w:t>Respondent</w:t>
      </w:r>
      <w:r w:rsidR="00E55153">
        <w:t xml:space="preserve"> also has to show that </w:t>
      </w:r>
      <w:r w:rsidR="00D92A01">
        <w:t>it</w:t>
      </w:r>
      <w:r w:rsidR="00E55153">
        <w:t xml:space="preserve"> is not statute-barred. </w:t>
      </w:r>
      <w:r w:rsidR="00D92A01">
        <w:t>On the judge’s findings</w:t>
      </w:r>
      <w:r w:rsidR="00E55153">
        <w:t xml:space="preserve">, this means that she has to persuade the court that she has an arguable case </w:t>
      </w:r>
      <w:r w:rsidR="00520986">
        <w:t>to disapply the one</w:t>
      </w:r>
      <w:r w:rsidR="00286B55">
        <w:t>-</w:t>
      </w:r>
      <w:r w:rsidR="00520986">
        <w:t>year limit</w:t>
      </w:r>
      <w:r w:rsidR="00EB03AA">
        <w:t>ation period under</w:t>
      </w:r>
      <w:r w:rsidR="00E55153">
        <w:t xml:space="preserve"> Article 7 </w:t>
      </w:r>
      <w:r w:rsidR="005327BA">
        <w:t xml:space="preserve">of the Rome II Regulation </w:t>
      </w:r>
      <w:r w:rsidR="00E55153">
        <w:t>a</w:t>
      </w:r>
      <w:r w:rsidR="00EB03AA">
        <w:t>nd/or</w:t>
      </w:r>
      <w:r w:rsidR="00E55153">
        <w:t xml:space="preserve"> </w:t>
      </w:r>
      <w:r w:rsidR="005327BA">
        <w:t xml:space="preserve">to disapply </w:t>
      </w:r>
      <w:r w:rsidR="00AF6E26">
        <w:t>the one</w:t>
      </w:r>
      <w:r w:rsidR="00286B55">
        <w:t>-</w:t>
      </w:r>
      <w:r w:rsidR="00AF6E26">
        <w:t xml:space="preserve">year limitation period under Article </w:t>
      </w:r>
      <w:r w:rsidR="00E55153">
        <w:t xml:space="preserve">26, or that </w:t>
      </w:r>
      <w:r w:rsidR="00C64547">
        <w:t xml:space="preserve">one or both of those </w:t>
      </w:r>
      <w:r w:rsidR="00C64547">
        <w:lastRenderedPageBreak/>
        <w:t xml:space="preserve">issues should not be decided now, but </w:t>
      </w:r>
      <w:r w:rsidR="00FF6AA0">
        <w:t xml:space="preserve">instead </w:t>
      </w:r>
      <w:r w:rsidR="00C64547">
        <w:t>be resolved by way of some form of preliminary issue.</w:t>
      </w:r>
    </w:p>
    <w:p w14:paraId="299113D1" w14:textId="6C67D144" w:rsidR="00C64547" w:rsidRPr="00C64547" w:rsidRDefault="00C64547" w:rsidP="00AB117A">
      <w:pPr>
        <w:pStyle w:val="ParaLevel1"/>
        <w:numPr>
          <w:ilvl w:val="0"/>
          <w:numId w:val="0"/>
        </w:numPr>
        <w:rPr>
          <w:b/>
          <w:u w:val="single"/>
        </w:rPr>
      </w:pPr>
      <w:r w:rsidRPr="00C64547">
        <w:rPr>
          <w:b/>
          <w:u w:val="single"/>
        </w:rPr>
        <w:t>8 THE BACKGROUND TO THE LIMITATION ISSUES</w:t>
      </w:r>
    </w:p>
    <w:p w14:paraId="520B5349" w14:textId="7D38E533" w:rsidR="009C2350" w:rsidRDefault="00B1253D" w:rsidP="00AB117A">
      <w:pPr>
        <w:pStyle w:val="ParaLevel1"/>
      </w:pPr>
      <w:r>
        <w:t>The judge found that, pursuant to Article 4 of Rome II</w:t>
      </w:r>
      <w:r w:rsidR="001222BD">
        <w:t>, the law of Bangladesh applied to this case: see [76]</w:t>
      </w:r>
      <w:r w:rsidR="00440F43">
        <w:t>-</w:t>
      </w:r>
      <w:r w:rsidR="001222BD">
        <w:t>[79]. He also found that, if Bangladeshi law applied, the claim was statute-barred because it was brought outside the non-extendible one</w:t>
      </w:r>
      <w:r w:rsidR="00286B55">
        <w:t>-</w:t>
      </w:r>
      <w:r w:rsidR="001222BD">
        <w:t xml:space="preserve">year limitation period </w:t>
      </w:r>
      <w:r w:rsidR="009C2350">
        <w:t>pr</w:t>
      </w:r>
      <w:r w:rsidR="001222BD">
        <w:t>escri</w:t>
      </w:r>
      <w:r w:rsidR="00C63994">
        <w:t>be</w:t>
      </w:r>
      <w:r w:rsidR="002978FD">
        <w:t xml:space="preserve">d by Bangladeshi law. On the face of it, therefore, the claim was statute-barred and was susceptible of being struck out. </w:t>
      </w:r>
    </w:p>
    <w:p w14:paraId="70A9DA4B" w14:textId="7834F7A3" w:rsidR="0086738C" w:rsidRDefault="002978FD" w:rsidP="00AB117A">
      <w:pPr>
        <w:pStyle w:val="ParaLevel1"/>
      </w:pPr>
      <w:r>
        <w:t xml:space="preserve">However, the judge declined to strike out the claim </w:t>
      </w:r>
      <w:r w:rsidR="009C2350">
        <w:t xml:space="preserve">on this basis </w:t>
      </w:r>
      <w:r>
        <w:t xml:space="preserve">for two separate reasons. First he found that </w:t>
      </w:r>
      <w:r w:rsidR="00796B4D">
        <w:t xml:space="preserve">the </w:t>
      </w:r>
      <w:r w:rsidR="00950003">
        <w:t>Respondent</w:t>
      </w:r>
      <w:r w:rsidR="00796B4D">
        <w:t xml:space="preserve"> had a</w:t>
      </w:r>
      <w:r w:rsidR="006C2543">
        <w:t>n arguable case that</w:t>
      </w:r>
      <w:r>
        <w:t xml:space="preserve"> Article 7 of Rome II applied</w:t>
      </w:r>
      <w:r w:rsidR="00440F43">
        <w:t>,</w:t>
      </w:r>
      <w:r>
        <w:t xml:space="preserve"> because this was a claim arising out of environmental damage: see </w:t>
      </w:r>
      <w:r w:rsidR="007275DF">
        <w:t>[</w:t>
      </w:r>
      <w:r>
        <w:t>76]</w:t>
      </w:r>
      <w:r w:rsidR="00440F43">
        <w:t>-</w:t>
      </w:r>
      <w:r>
        <w:t>[</w:t>
      </w:r>
      <w:r w:rsidR="007275DF">
        <w:t>84]</w:t>
      </w:r>
      <w:r w:rsidR="00747BC8">
        <w:t xml:space="preserve"> which could have the effect of replacing the one</w:t>
      </w:r>
      <w:r w:rsidR="00286B55">
        <w:t>-</w:t>
      </w:r>
      <w:r w:rsidR="00747BC8">
        <w:t>year period with the three</w:t>
      </w:r>
      <w:r w:rsidR="00286B55">
        <w:t>-</w:t>
      </w:r>
      <w:r w:rsidR="00747BC8">
        <w:t>year period applicable in England</w:t>
      </w:r>
      <w:r w:rsidR="007275DF">
        <w:t xml:space="preserve">. </w:t>
      </w:r>
      <w:r w:rsidR="006C2543">
        <w:t xml:space="preserve">The judge </w:t>
      </w:r>
      <w:r w:rsidR="00121B8E">
        <w:t xml:space="preserve">rightly </w:t>
      </w:r>
      <w:r w:rsidR="006C2543">
        <w:t>dealt with this entirely as a matter of construction of</w:t>
      </w:r>
      <w:r w:rsidR="004757C7">
        <w:t xml:space="preserve"> Article</w:t>
      </w:r>
      <w:r w:rsidR="00641CD1">
        <w:t xml:space="preserve"> 7</w:t>
      </w:r>
      <w:r w:rsidR="004757C7">
        <w:t>.</w:t>
      </w:r>
    </w:p>
    <w:p w14:paraId="095B2BF8" w14:textId="1F48B488" w:rsidR="00C629A5" w:rsidRDefault="00121B8E" w:rsidP="00AB117A">
      <w:pPr>
        <w:pStyle w:val="ParaLevel1"/>
      </w:pPr>
      <w:r>
        <w:t>In addition</w:t>
      </w:r>
      <w:r w:rsidR="007275DF">
        <w:t xml:space="preserve">, he concluded at [85] that the </w:t>
      </w:r>
      <w:r w:rsidR="00950003">
        <w:t>Respondent</w:t>
      </w:r>
      <w:r w:rsidR="007275DF">
        <w:t xml:space="preserve">’s second argument, </w:t>
      </w:r>
      <w:r w:rsidR="00D23507">
        <w:t>that pursuant to Article 26 of Rome II the one</w:t>
      </w:r>
      <w:r w:rsidR="00286B55">
        <w:t>-</w:t>
      </w:r>
      <w:r w:rsidR="00D23507">
        <w:t xml:space="preserve">year limitation period should be disapplied, was not capable of being </w:t>
      </w:r>
      <w:r w:rsidR="005C4375">
        <w:t>resolved</w:t>
      </w:r>
      <w:r w:rsidR="00D23507">
        <w:t xml:space="preserve"> </w:t>
      </w:r>
      <w:r w:rsidR="005C4375">
        <w:t>at the hearing</w:t>
      </w:r>
      <w:r w:rsidR="00D23507">
        <w:t xml:space="preserve"> and should instead be determined by way of a preliminary issue. As noted above, the </w:t>
      </w:r>
      <w:r w:rsidR="00950003">
        <w:t>Appellant</w:t>
      </w:r>
      <w:r w:rsidR="00D23507">
        <w:t xml:space="preserve"> has permission to appeal </w:t>
      </w:r>
      <w:r w:rsidR="00C629A5">
        <w:t xml:space="preserve">against </w:t>
      </w:r>
      <w:r w:rsidR="00D23507">
        <w:t xml:space="preserve">both of those findings. If the </w:t>
      </w:r>
      <w:r w:rsidR="00950003">
        <w:t>Appellant</w:t>
      </w:r>
      <w:r w:rsidR="00D23507">
        <w:t xml:space="preserve"> </w:t>
      </w:r>
      <w:r w:rsidR="00831CAD">
        <w:t>i</w:t>
      </w:r>
      <w:r w:rsidR="00D23507">
        <w:t>s successful on both it would mean that, notwithstanding my views about the duty of care, if my Lords agreed</w:t>
      </w:r>
      <w:r w:rsidR="00DA5549">
        <w:t>, this claim would be struck out.</w:t>
      </w:r>
    </w:p>
    <w:p w14:paraId="0F95002C" w14:textId="6D03CFA5" w:rsidR="005959DE" w:rsidRDefault="00C629A5" w:rsidP="00AB117A">
      <w:pPr>
        <w:pStyle w:val="ParaLevel1"/>
      </w:pPr>
      <w:r>
        <w:t xml:space="preserve">Mr </w:t>
      </w:r>
      <w:proofErr w:type="spellStart"/>
      <w:r>
        <w:t>Hermer</w:t>
      </w:r>
      <w:proofErr w:type="spellEnd"/>
      <w:r>
        <w:t xml:space="preserve"> said that the arguments on these two points </w:t>
      </w:r>
      <w:r w:rsidR="004757C7">
        <w:t>had been</w:t>
      </w:r>
      <w:r>
        <w:t xml:space="preserve"> limited be</w:t>
      </w:r>
      <w:r w:rsidR="004757C7">
        <w:t>fore the judge</w:t>
      </w:r>
      <w:r>
        <w:t xml:space="preserve">, and that </w:t>
      </w:r>
      <w:r w:rsidR="0086738C">
        <w:t xml:space="preserve">in consequence </w:t>
      </w:r>
      <w:r w:rsidR="00641CD1">
        <w:t>this court should not intervene</w:t>
      </w:r>
      <w:r w:rsidR="00F23988">
        <w:t xml:space="preserve"> </w:t>
      </w:r>
      <w:r w:rsidR="00156A16">
        <w:t>in</w:t>
      </w:r>
      <w:r w:rsidR="00F23988">
        <w:t xml:space="preserve"> what were essentially case management decisions</w:t>
      </w:r>
      <w:r w:rsidR="00641CD1">
        <w:t xml:space="preserve">. </w:t>
      </w:r>
      <w:r w:rsidR="00BF28B0">
        <w:t xml:space="preserve">In my view, there is nothing in that </w:t>
      </w:r>
      <w:r w:rsidR="00367A4F">
        <w:t>argument</w:t>
      </w:r>
      <w:r w:rsidR="00BF28B0">
        <w:t>. It</w:t>
      </w:r>
      <w:r w:rsidR="00641CD1">
        <w:t xml:space="preserve"> is immaterial to Article 7, wh</w:t>
      </w:r>
      <w:r w:rsidR="00CC0C46">
        <w:t>ere the</w:t>
      </w:r>
      <w:r w:rsidR="00BF28B0">
        <w:t xml:space="preserve"> issue</w:t>
      </w:r>
      <w:r w:rsidR="00641CD1">
        <w:t xml:space="preserve"> is entirely a matter of construction of the Article itself. The judge</w:t>
      </w:r>
      <w:r w:rsidR="00585CDF">
        <w:t>’s construction</w:t>
      </w:r>
      <w:r w:rsidR="00641CD1">
        <w:t xml:space="preserve"> was either </w:t>
      </w:r>
      <w:r w:rsidR="00585CDF">
        <w:t xml:space="preserve">right or </w:t>
      </w:r>
      <w:r w:rsidR="00641CD1">
        <w:t xml:space="preserve">wrong and </w:t>
      </w:r>
      <w:r w:rsidR="009D5995">
        <w:t xml:space="preserve">the </w:t>
      </w:r>
      <w:r w:rsidR="00950003">
        <w:t>Appellant</w:t>
      </w:r>
      <w:r w:rsidR="009D5995">
        <w:t xml:space="preserve"> has leave to argue that he was wrong. </w:t>
      </w:r>
      <w:r w:rsidR="00367A4F">
        <w:t xml:space="preserve">And although </w:t>
      </w:r>
      <w:r w:rsidR="00C638E7">
        <w:t>the proper management of the issues</w:t>
      </w:r>
      <w:r w:rsidR="00367A4F">
        <w:t xml:space="preserve"> has some relevance to the debate about Article 26, the position there has, as we shall see, moved on quite considerably since the matter was before the judge, and </w:t>
      </w:r>
      <w:r w:rsidR="00C638E7">
        <w:t>on one view, it is now</w:t>
      </w:r>
      <w:r w:rsidR="00367A4F">
        <w:t xml:space="preserve"> the </w:t>
      </w:r>
      <w:r w:rsidR="00950003">
        <w:t>Respondent</w:t>
      </w:r>
      <w:r w:rsidR="00367A4F">
        <w:t xml:space="preserve"> who requires the indulgence of the court.</w:t>
      </w:r>
    </w:p>
    <w:p w14:paraId="6E467F5B" w14:textId="3DA7CBB4" w:rsidR="00DA5549" w:rsidRPr="00DA5549" w:rsidRDefault="00DA5549" w:rsidP="00AB117A">
      <w:pPr>
        <w:pStyle w:val="ParaLevel1"/>
        <w:numPr>
          <w:ilvl w:val="0"/>
          <w:numId w:val="0"/>
        </w:numPr>
        <w:rPr>
          <w:b/>
          <w:u w:val="single"/>
        </w:rPr>
      </w:pPr>
      <w:r w:rsidRPr="00DA5549">
        <w:rPr>
          <w:b/>
          <w:u w:val="single"/>
        </w:rPr>
        <w:t>9 ARTICLE 7</w:t>
      </w:r>
    </w:p>
    <w:p w14:paraId="7E254806" w14:textId="3B9FA9E4" w:rsidR="00CB174A" w:rsidRDefault="00CB174A" w:rsidP="00AB117A">
      <w:pPr>
        <w:pStyle w:val="ParaLevel1"/>
      </w:pPr>
      <w:r>
        <w:t>Article 7 provides as follows:</w:t>
      </w:r>
    </w:p>
    <w:p w14:paraId="0766CF5A" w14:textId="77777777" w:rsidR="00601F80" w:rsidRDefault="00601F80" w:rsidP="00AB117A">
      <w:pPr>
        <w:ind w:left="1418" w:right="851"/>
        <w:jc w:val="both"/>
        <w:rPr>
          <w:lang w:eastAsia="en-GB"/>
        </w:rPr>
      </w:pPr>
      <w:r>
        <w:t>“"</w:t>
      </w:r>
      <w:r>
        <w:rPr>
          <w:b/>
          <w:bCs/>
        </w:rPr>
        <w:t>Environmental damage</w:t>
      </w:r>
    </w:p>
    <w:p w14:paraId="0E2D5F21" w14:textId="77777777" w:rsidR="00601F80" w:rsidRDefault="00601F80" w:rsidP="00AB117A">
      <w:pPr>
        <w:ind w:left="1418" w:right="851"/>
        <w:jc w:val="both"/>
      </w:pPr>
      <w:r>
        <w:t>The law applicable to a non-contractual obligation arising out of environmental damage or damage sustained by persons or property as a result of such damage shall be the law determined pursuant to Article 4(1), unless the person seeking compensation for damage chooses to base his or her claim on the law of the country in which the event giving rise to the damage occurred."</w:t>
      </w:r>
    </w:p>
    <w:p w14:paraId="7DA727A3" w14:textId="4BEDE013" w:rsidR="00601F80" w:rsidRDefault="00286B55" w:rsidP="00AB117A">
      <w:pPr>
        <w:spacing w:before="100" w:beforeAutospacing="1" w:after="100" w:afterAutospacing="1"/>
        <w:ind w:left="567" w:right="851"/>
        <w:jc w:val="both"/>
      </w:pPr>
      <w:bookmarkStart w:id="14" w:name="para81"/>
      <w:r>
        <w:t xml:space="preserve">    </w:t>
      </w:r>
      <w:r w:rsidR="00601F80">
        <w:t>Recitals 24 and 25</w:t>
      </w:r>
      <w:r w:rsidR="00831CAD">
        <w:t xml:space="preserve"> are also relevant</w:t>
      </w:r>
      <w:r w:rsidR="00601F80">
        <w:t xml:space="preserve">: </w:t>
      </w:r>
      <w:bookmarkEnd w:id="14"/>
    </w:p>
    <w:p w14:paraId="10A89054" w14:textId="5F34F968" w:rsidR="00601F80" w:rsidRDefault="00601F80" w:rsidP="00AB117A">
      <w:pPr>
        <w:ind w:left="1418" w:right="851"/>
        <w:jc w:val="both"/>
      </w:pPr>
      <w:r>
        <w:lastRenderedPageBreak/>
        <w:t>"(24) 'Environmental damage' should be understood as meaning adverse change in a natural resource, such as water, land or air, impairment of a function performed by that resource for the benefit of another natural resource or the public, or impairment of the variability among living organisms.</w:t>
      </w:r>
    </w:p>
    <w:p w14:paraId="0E50F6AE" w14:textId="77777777" w:rsidR="00831CAD" w:rsidRDefault="00831CAD" w:rsidP="00AB117A">
      <w:pPr>
        <w:ind w:left="1418" w:right="851"/>
        <w:jc w:val="both"/>
      </w:pPr>
    </w:p>
    <w:p w14:paraId="56F7E768" w14:textId="50E736D1" w:rsidR="005959DE" w:rsidRDefault="00601F80" w:rsidP="00AB117A">
      <w:pPr>
        <w:ind w:left="1418" w:right="851"/>
        <w:jc w:val="both"/>
      </w:pPr>
      <w:r>
        <w:t xml:space="preserve">(25) Regarding environmental damage, Article 174 of the Treaty, which provides that there should be a high level of protection based on the precautionary principle and the principle that preventive action should be taken, the principle of priority for corrective action at source and the principle that the polluter pays, fully justifies the use of the principle of discriminating in favour of the person sustaining the damage. The question of when the person seeking compensation can make the choice of the law applicable should be determined in accordance with the law of the Member State in which the court is </w:t>
      </w:r>
      <w:proofErr w:type="spellStart"/>
      <w:r>
        <w:t>seised</w:t>
      </w:r>
      <w:proofErr w:type="spellEnd"/>
      <w:r>
        <w:t>."</w:t>
      </w:r>
    </w:p>
    <w:p w14:paraId="2999BA02" w14:textId="64C3DDF4" w:rsidR="005959DE" w:rsidRDefault="00CB16C9" w:rsidP="00AB117A">
      <w:pPr>
        <w:pStyle w:val="ParaLevel1"/>
      </w:pPr>
      <w:r>
        <w:t xml:space="preserve">The </w:t>
      </w:r>
      <w:r w:rsidR="00950003">
        <w:t>Respondent</w:t>
      </w:r>
      <w:r>
        <w:t xml:space="preserve">’s </w:t>
      </w:r>
      <w:r w:rsidR="00B57CAE">
        <w:t xml:space="preserve">first </w:t>
      </w:r>
      <w:r>
        <w:t xml:space="preserve">argument is that the deceased’s death arose out of environmental damage, or </w:t>
      </w:r>
      <w:r w:rsidR="00000A1E">
        <w:t xml:space="preserve">was </w:t>
      </w:r>
      <w:r>
        <w:t xml:space="preserve">damage sustained as a result of </w:t>
      </w:r>
      <w:r w:rsidR="00000A1E">
        <w:t>environmental</w:t>
      </w:r>
      <w:r>
        <w:t xml:space="preserve"> damage. On that basis, it is said tha</w:t>
      </w:r>
      <w:r w:rsidR="001C51FA">
        <w:t>t</w:t>
      </w:r>
      <w:r>
        <w:t xml:space="preserve"> the </w:t>
      </w:r>
      <w:r w:rsidR="00950003">
        <w:t>Respondent</w:t>
      </w:r>
      <w:r w:rsidR="001C51FA">
        <w:t xml:space="preserve"> is entitled to choose to base her claim on the law of the country in which </w:t>
      </w:r>
      <w:r w:rsidR="006E7C7B">
        <w:t>“</w:t>
      </w:r>
      <w:r w:rsidR="001C51FA">
        <w:t>the event giving rise to the damage occurred</w:t>
      </w:r>
      <w:r w:rsidR="006E7C7B">
        <w:t>”</w:t>
      </w:r>
      <w:r w:rsidR="001C51FA">
        <w:t xml:space="preserve">. The </w:t>
      </w:r>
      <w:r w:rsidR="00B57CAE">
        <w:t xml:space="preserve">second </w:t>
      </w:r>
      <w:r w:rsidR="001C51FA">
        <w:t xml:space="preserve">argument is that the event giving rise to the damage </w:t>
      </w:r>
      <w:r w:rsidR="00B03317">
        <w:t xml:space="preserve">was the contract </w:t>
      </w:r>
      <w:r w:rsidR="006E7C7B">
        <w:t>for the</w:t>
      </w:r>
      <w:r w:rsidR="00B03317">
        <w:t xml:space="preserve"> sale</w:t>
      </w:r>
      <w:r w:rsidR="006E7C7B">
        <w:t xml:space="preserve"> of the vessel </w:t>
      </w:r>
      <w:r w:rsidR="00895344">
        <w:t xml:space="preserve">to </w:t>
      </w:r>
      <w:proofErr w:type="spellStart"/>
      <w:r w:rsidR="00895344">
        <w:t>Hsejar</w:t>
      </w:r>
      <w:proofErr w:type="spellEnd"/>
      <w:r w:rsidR="00B03317">
        <w:t xml:space="preserve">, which </w:t>
      </w:r>
      <w:r w:rsidR="001E578F">
        <w:t xml:space="preserve">contract </w:t>
      </w:r>
      <w:r w:rsidR="00B03317">
        <w:t xml:space="preserve">was made in </w:t>
      </w:r>
      <w:r w:rsidR="001E578F">
        <w:t>London</w:t>
      </w:r>
      <w:r w:rsidR="00B03317">
        <w:t>.</w:t>
      </w:r>
    </w:p>
    <w:p w14:paraId="394DCE3A" w14:textId="6FC8646F" w:rsidR="00B0270A" w:rsidRDefault="00B0270A" w:rsidP="00AB117A">
      <w:pPr>
        <w:pStyle w:val="ParaLevel1"/>
      </w:pPr>
      <w:r>
        <w:t xml:space="preserve">If a court concludes that an application for summary judgment under Part 24 gives rise to a short point of construction or law, then it should proceed to decide it: see </w:t>
      </w:r>
      <w:r w:rsidRPr="00953B34">
        <w:rPr>
          <w:i/>
        </w:rPr>
        <w:t xml:space="preserve">ICI Chemicals and Polymers Limited v </w:t>
      </w:r>
      <w:proofErr w:type="spellStart"/>
      <w:r w:rsidRPr="00953B34">
        <w:rPr>
          <w:i/>
        </w:rPr>
        <w:t>TTE</w:t>
      </w:r>
      <w:proofErr w:type="spellEnd"/>
      <w:r w:rsidRPr="00953B34">
        <w:rPr>
          <w:i/>
        </w:rPr>
        <w:t xml:space="preserve"> Training Limited </w:t>
      </w:r>
      <w:r>
        <w:t xml:space="preserve">[2007] </w:t>
      </w:r>
      <w:proofErr w:type="spellStart"/>
      <w:r>
        <w:t>EWCA</w:t>
      </w:r>
      <w:proofErr w:type="spellEnd"/>
      <w:r>
        <w:t xml:space="preserve"> </w:t>
      </w:r>
      <w:proofErr w:type="spellStart"/>
      <w:r>
        <w:t>Civ</w:t>
      </w:r>
      <w:proofErr w:type="spellEnd"/>
      <w:r>
        <w:t xml:space="preserve"> 725 and </w:t>
      </w:r>
      <w:r w:rsidRPr="00953B34">
        <w:rPr>
          <w:i/>
        </w:rPr>
        <w:t xml:space="preserve">Global Asset. </w:t>
      </w:r>
      <w:r>
        <w:t xml:space="preserve">The Article 7 issue here is a good example of a point that is capable of such summary determination. I am in no doubt that the </w:t>
      </w:r>
      <w:r w:rsidR="00950003">
        <w:t>Respondent</w:t>
      </w:r>
      <w:r>
        <w:t xml:space="preserve">’s </w:t>
      </w:r>
      <w:r w:rsidR="00CB67B2">
        <w:t>submissions are</w:t>
      </w:r>
      <w:r>
        <w:t xml:space="preserve"> based on an incorrect and insupportable construction of Article 7.</w:t>
      </w:r>
    </w:p>
    <w:p w14:paraId="3B8DA8F0" w14:textId="23E85409" w:rsidR="00207A96" w:rsidRDefault="00DA2592" w:rsidP="00AB117A">
      <w:pPr>
        <w:pStyle w:val="ParaLevel1"/>
      </w:pPr>
      <w:r>
        <w:t xml:space="preserve">Expanding </w:t>
      </w:r>
      <w:r w:rsidR="00CB67B2">
        <w:t>his</w:t>
      </w:r>
      <w:r w:rsidR="00B57CAE">
        <w:t xml:space="preserve"> first argument,  </w:t>
      </w:r>
      <w:r w:rsidR="00B03317">
        <w:t xml:space="preserve">Mr </w:t>
      </w:r>
      <w:proofErr w:type="spellStart"/>
      <w:r w:rsidR="00B03317">
        <w:t>Hermer</w:t>
      </w:r>
      <w:proofErr w:type="spellEnd"/>
      <w:r w:rsidR="00B03317">
        <w:t xml:space="preserve"> </w:t>
      </w:r>
      <w:r w:rsidR="00851A14">
        <w:t>submitted</w:t>
      </w:r>
      <w:r w:rsidR="00B03317">
        <w:t xml:space="preserve"> that </w:t>
      </w:r>
      <w:r w:rsidR="00364C3D">
        <w:t xml:space="preserve">the beaching of the vessel at </w:t>
      </w:r>
      <w:r w:rsidR="00156A16">
        <w:t xml:space="preserve">a </w:t>
      </w:r>
      <w:proofErr w:type="spellStart"/>
      <w:r w:rsidR="00364C3D">
        <w:t>Ch</w:t>
      </w:r>
      <w:r w:rsidR="00300A7A">
        <w:t>a</w:t>
      </w:r>
      <w:r w:rsidR="00364C3D">
        <w:t>ttogram</w:t>
      </w:r>
      <w:proofErr w:type="spellEnd"/>
      <w:r w:rsidR="00364C3D">
        <w:t xml:space="preserve"> beach was an adverse change in a natural resource, as per the </w:t>
      </w:r>
      <w:r w:rsidR="002F0051">
        <w:t xml:space="preserve">definition of </w:t>
      </w:r>
      <w:r w:rsidR="00B67A95">
        <w:t xml:space="preserve">‘environmental damage’ in the </w:t>
      </w:r>
      <w:r w:rsidR="00364C3D">
        <w:t xml:space="preserve">Recitals. </w:t>
      </w:r>
      <w:r w:rsidR="002F0051">
        <w:t>He said that</w:t>
      </w:r>
      <w:r w:rsidR="00364C3D">
        <w:t xml:space="preserve"> </w:t>
      </w:r>
      <w:r w:rsidR="00B03317">
        <w:t xml:space="preserve">the term “arising out of” was </w:t>
      </w:r>
      <w:r w:rsidR="00E45ACC">
        <w:t>deliberately wider and looser than “caused by”</w:t>
      </w:r>
      <w:r w:rsidR="00F936F4">
        <w:t xml:space="preserve">, such that it could be argued that </w:t>
      </w:r>
      <w:r w:rsidR="00364C3D">
        <w:t xml:space="preserve">the death </w:t>
      </w:r>
      <w:r w:rsidR="002F0051">
        <w:t xml:space="preserve">of the deceased arose out of </w:t>
      </w:r>
      <w:r w:rsidR="0020730F">
        <w:t xml:space="preserve">that </w:t>
      </w:r>
      <w:r w:rsidR="00B67A95">
        <w:t xml:space="preserve">environmental damage. </w:t>
      </w:r>
      <w:r w:rsidR="00207A96">
        <w:t>H</w:t>
      </w:r>
      <w:r w:rsidR="00895344">
        <w:t>e</w:t>
      </w:r>
      <w:r w:rsidR="004B49DA">
        <w:t xml:space="preserve"> said that</w:t>
      </w:r>
      <w:r w:rsidR="0017403E">
        <w:t>,</w:t>
      </w:r>
      <w:r w:rsidR="004B49DA">
        <w:t xml:space="preserve"> since the acci</w:t>
      </w:r>
      <w:r w:rsidR="00BC2451">
        <w:t>d</w:t>
      </w:r>
      <w:r w:rsidR="004B49DA">
        <w:t xml:space="preserve">ent resulted from </w:t>
      </w:r>
      <w:r w:rsidR="004F7E81">
        <w:t>the chai</w:t>
      </w:r>
      <w:r w:rsidR="003639B0">
        <w:t>n</w:t>
      </w:r>
      <w:r w:rsidR="004F7E81">
        <w:t xml:space="preserve"> of events which began with the beaching, with all the environmental risks that that posed, th</w:t>
      </w:r>
      <w:r w:rsidR="00921A94">
        <w:t>e deceased’s death</w:t>
      </w:r>
      <w:r w:rsidR="004F7E81">
        <w:t xml:space="preserve"> was </w:t>
      </w:r>
      <w:r w:rsidR="004F4A5B">
        <w:t>ca</w:t>
      </w:r>
      <w:r w:rsidR="001463C3">
        <w:t xml:space="preserve">ught </w:t>
      </w:r>
      <w:r w:rsidR="004F4A5B">
        <w:t>by Article 7.</w:t>
      </w:r>
      <w:r w:rsidR="00F8428A">
        <w:t xml:space="preserve"> </w:t>
      </w:r>
    </w:p>
    <w:p w14:paraId="1C82F92B" w14:textId="1FA49DC0" w:rsidR="00121779" w:rsidRDefault="006B4E1D" w:rsidP="00AB117A">
      <w:pPr>
        <w:pStyle w:val="ParaLevel1"/>
      </w:pPr>
      <w:r>
        <w:t xml:space="preserve">I profoundly disagree. </w:t>
      </w:r>
      <w:r w:rsidR="00E13A73">
        <w:t>Article 7 is concerned with the law applicable to a non-contractual obligation: in other words</w:t>
      </w:r>
      <w:r w:rsidR="009E6AD8">
        <w:t>,</w:t>
      </w:r>
      <w:r w:rsidR="00E13A73">
        <w:t xml:space="preserve"> the duty</w:t>
      </w:r>
      <w:r w:rsidR="007B1DFE">
        <w:t xml:space="preserve"> of care</w:t>
      </w:r>
      <w:r w:rsidR="00E13A73">
        <w:t xml:space="preserve">. </w:t>
      </w:r>
      <w:r w:rsidR="00A712E0">
        <w:t xml:space="preserve">It is that duty </w:t>
      </w:r>
      <w:r w:rsidR="009A15C9">
        <w:t xml:space="preserve">which has to </w:t>
      </w:r>
      <w:r w:rsidR="007B1DFE">
        <w:t>‘</w:t>
      </w:r>
      <w:r w:rsidR="009A15C9">
        <w:t>arise out of</w:t>
      </w:r>
      <w:r w:rsidR="007B1DFE">
        <w:t>’</w:t>
      </w:r>
      <w:r w:rsidR="009A15C9">
        <w:t xml:space="preserve"> environmental damage for Article 7 to apply at all. </w:t>
      </w:r>
      <w:r w:rsidR="004D7863">
        <w:t xml:space="preserve">I have set out the pleaded duty </w:t>
      </w:r>
      <w:r w:rsidR="00DE50A0">
        <w:t xml:space="preserve">in this case </w:t>
      </w:r>
      <w:r w:rsidR="002B202A">
        <w:t xml:space="preserve">at paragraph </w:t>
      </w:r>
      <w:r w:rsidR="00DD33E4">
        <w:t>3</w:t>
      </w:r>
      <w:r w:rsidR="00286B55">
        <w:t>8</w:t>
      </w:r>
      <w:r w:rsidR="00DD33E4">
        <w:t xml:space="preserve"> above.</w:t>
      </w:r>
      <w:r w:rsidR="00E13A73">
        <w:t xml:space="preserve"> I</w:t>
      </w:r>
      <w:r w:rsidR="00F85C1C">
        <w:t>n essence, i</w:t>
      </w:r>
      <w:r w:rsidR="00E13A73">
        <w:t xml:space="preserve">t is the duty to </w:t>
      </w:r>
      <w:r w:rsidR="00A712E0">
        <w:t xml:space="preserve">take </w:t>
      </w:r>
      <w:r w:rsidR="00F85C1C">
        <w:t xml:space="preserve">all </w:t>
      </w:r>
      <w:r w:rsidR="00A712E0">
        <w:t>re</w:t>
      </w:r>
      <w:r w:rsidR="00136AF5">
        <w:t xml:space="preserve">asonable steps to ensure that the sale </w:t>
      </w:r>
      <w:r w:rsidR="002F5152">
        <w:t xml:space="preserve">of the vessel </w:t>
      </w:r>
      <w:r w:rsidR="00136AF5">
        <w:t xml:space="preserve">for demolition </w:t>
      </w:r>
      <w:r w:rsidR="002F5152">
        <w:t xml:space="preserve">purposes </w:t>
      </w:r>
      <w:r w:rsidR="00136AF5">
        <w:t xml:space="preserve">did not endanger </w:t>
      </w:r>
      <w:r w:rsidR="002F5152">
        <w:t xml:space="preserve">human </w:t>
      </w:r>
      <w:r w:rsidR="00835B46">
        <w:t xml:space="preserve">life or </w:t>
      </w:r>
      <w:r w:rsidR="002F5152">
        <w:t>health</w:t>
      </w:r>
      <w:r w:rsidR="00E13A73">
        <w:t>. That duty did not arise out of environmental damage</w:t>
      </w:r>
      <w:r w:rsidR="0079718D">
        <w:t>;</w:t>
      </w:r>
      <w:r w:rsidR="00E13A73">
        <w:t xml:space="preserve"> it had nothing to do with environmental damage at all. It </w:t>
      </w:r>
      <w:r w:rsidR="00A864CF">
        <w:t>arose out of</w:t>
      </w:r>
      <w:r w:rsidR="00E13A73">
        <w:t xml:space="preserve"> </w:t>
      </w:r>
      <w:r w:rsidR="00835B46">
        <w:t xml:space="preserve">the complete absence of </w:t>
      </w:r>
      <w:r w:rsidR="00B847FD">
        <w:t>workplace</w:t>
      </w:r>
      <w:r w:rsidR="00E13A73">
        <w:t xml:space="preserve"> safety.</w:t>
      </w:r>
    </w:p>
    <w:p w14:paraId="2557FAF8" w14:textId="2D046BD3" w:rsidR="00AE31F5" w:rsidRDefault="00E13A73" w:rsidP="00AB117A">
      <w:pPr>
        <w:pStyle w:val="ParaLevel1"/>
      </w:pPr>
      <w:r>
        <w:t xml:space="preserve">The </w:t>
      </w:r>
      <w:r w:rsidR="00B847FD">
        <w:t xml:space="preserve">same </w:t>
      </w:r>
      <w:r>
        <w:t xml:space="preserve">point can be put </w:t>
      </w:r>
      <w:r w:rsidR="00B847FD">
        <w:t xml:space="preserve">in </w:t>
      </w:r>
      <w:r>
        <w:t xml:space="preserve">another way. If the </w:t>
      </w:r>
      <w:r w:rsidR="00CC20AD">
        <w:t xml:space="preserve">relevant </w:t>
      </w:r>
      <w:r>
        <w:t xml:space="preserve">duty </w:t>
      </w:r>
      <w:r w:rsidR="00CC20AD">
        <w:t xml:space="preserve">in this case </w:t>
      </w:r>
      <w:r>
        <w:t>arose out of environmental damage</w:t>
      </w:r>
      <w:r w:rsidR="00B0675D">
        <w:t xml:space="preserve"> or</w:t>
      </w:r>
      <w:r>
        <w:t xml:space="preserve"> </w:t>
      </w:r>
      <w:r w:rsidR="00764CE1">
        <w:t xml:space="preserve">the </w:t>
      </w:r>
      <w:r w:rsidR="00550694">
        <w:t xml:space="preserve">adverse </w:t>
      </w:r>
      <w:r w:rsidR="00764CE1">
        <w:t xml:space="preserve">change </w:t>
      </w:r>
      <w:r w:rsidR="00550694">
        <w:t>in a natural resource</w:t>
      </w:r>
      <w:r w:rsidR="00D64D34">
        <w:t xml:space="preserve"> (</w:t>
      </w:r>
      <w:r>
        <w:t xml:space="preserve">the damage caused by beaching the vessel at </w:t>
      </w:r>
      <w:proofErr w:type="spellStart"/>
      <w:r>
        <w:t>Ch</w:t>
      </w:r>
      <w:r w:rsidR="00605853">
        <w:t>a</w:t>
      </w:r>
      <w:r>
        <w:t>ttogram</w:t>
      </w:r>
      <w:proofErr w:type="spellEnd"/>
      <w:r w:rsidR="00CC20AD">
        <w:t>, thereby</w:t>
      </w:r>
      <w:r w:rsidR="003C396B">
        <w:t xml:space="preserve"> allowing oil and other pollutants to leak </w:t>
      </w:r>
      <w:r w:rsidR="003C396B">
        <w:lastRenderedPageBreak/>
        <w:t>into the sea</w:t>
      </w:r>
      <w:r w:rsidR="00D54BDE">
        <w:t xml:space="preserve"> and </w:t>
      </w:r>
      <w:r w:rsidR="00605853">
        <w:t>o</w:t>
      </w:r>
      <w:r w:rsidR="00D54BDE">
        <w:t xml:space="preserve">nto the land, and perhaps exposing the workers </w:t>
      </w:r>
      <w:r w:rsidR="00EA0328">
        <w:t>t</w:t>
      </w:r>
      <w:r w:rsidR="00D54BDE">
        <w:t>o toxic material like asbestos</w:t>
      </w:r>
      <w:r w:rsidR="00D64D34">
        <w:t>)</w:t>
      </w:r>
      <w:r w:rsidR="003C396B">
        <w:t xml:space="preserve">, then the </w:t>
      </w:r>
      <w:r w:rsidR="00950003">
        <w:t>Respondent</w:t>
      </w:r>
      <w:r w:rsidR="003C396B">
        <w:t xml:space="preserve"> would not be able to avail herself of </w:t>
      </w:r>
      <w:r w:rsidR="000B328C">
        <w:t>such a</w:t>
      </w:r>
      <w:r w:rsidR="003C396B">
        <w:t xml:space="preserve"> duty </w:t>
      </w:r>
      <w:r w:rsidR="000E5466">
        <w:t xml:space="preserve">in order </w:t>
      </w:r>
      <w:r w:rsidR="003118F4">
        <w:t xml:space="preserve">to </w:t>
      </w:r>
      <w:r w:rsidR="00304F5F">
        <w:t>bring</w:t>
      </w:r>
      <w:r w:rsidR="003C396B">
        <w:t xml:space="preserve"> this claim. </w:t>
      </w:r>
      <w:r w:rsidR="000B328C">
        <w:t>Such</w:t>
      </w:r>
      <w:r w:rsidR="003C396B">
        <w:t xml:space="preserve"> a duty </w:t>
      </w:r>
      <w:r w:rsidR="000B328C">
        <w:t>would not be engaged</w:t>
      </w:r>
      <w:r w:rsidR="003C396B">
        <w:t xml:space="preserve"> as a result of the deceased</w:t>
      </w:r>
      <w:r w:rsidR="005B05B9">
        <w:t>’</w:t>
      </w:r>
      <w:r w:rsidR="00D766CC">
        <w:t>s</w:t>
      </w:r>
      <w:r w:rsidR="003C396B">
        <w:t xml:space="preserve"> fall from the top of the vessel.</w:t>
      </w:r>
      <w:r w:rsidR="008149CE">
        <w:t xml:space="preserve"> There would be no </w:t>
      </w:r>
      <w:r w:rsidR="003118F4">
        <w:t xml:space="preserve">actionable </w:t>
      </w:r>
      <w:r w:rsidR="008149CE">
        <w:t>breach of a duty in respect of environmental damage</w:t>
      </w:r>
      <w:r w:rsidR="003118F4">
        <w:t xml:space="preserve"> on which to found the </w:t>
      </w:r>
      <w:r w:rsidR="009D349F">
        <w:t xml:space="preserve">fatal accident </w:t>
      </w:r>
      <w:r w:rsidR="003118F4">
        <w:t>claim</w:t>
      </w:r>
      <w:r w:rsidR="008149CE">
        <w:t>.</w:t>
      </w:r>
    </w:p>
    <w:p w14:paraId="5DB801A1" w14:textId="0DB88381" w:rsidR="00AE31F5" w:rsidRDefault="00AE31F5" w:rsidP="00AB117A">
      <w:pPr>
        <w:pStyle w:val="ParaLevel1"/>
      </w:pPr>
      <w:r>
        <w:t>T</w:t>
      </w:r>
      <w:r w:rsidR="002C3E73">
        <w:t xml:space="preserve">hat </w:t>
      </w:r>
      <w:r w:rsidR="000F5BDB">
        <w:t xml:space="preserve">proposition </w:t>
      </w:r>
      <w:r w:rsidR="002C3E73">
        <w:t>can also be tested by looking at the pleaded duty itself</w:t>
      </w:r>
      <w:r w:rsidR="00F27E84">
        <w:t xml:space="preserve"> (paragraph 38 above)</w:t>
      </w:r>
      <w:r w:rsidR="002C3E73">
        <w:t xml:space="preserve">. </w:t>
      </w:r>
      <w:r w:rsidR="000F5BDB">
        <w:t>I note tha</w:t>
      </w:r>
      <w:r w:rsidR="008F6770">
        <w:t>t</w:t>
      </w:r>
      <w:r w:rsidR="000F5BDB">
        <w:t xml:space="preserve"> i</w:t>
      </w:r>
      <w:r w:rsidR="00F012BE">
        <w:t>t</w:t>
      </w:r>
      <w:r w:rsidR="002C3E73">
        <w:t xml:space="preserve"> refers to </w:t>
      </w:r>
      <w:r w:rsidR="00F012BE">
        <w:t>‘</w:t>
      </w:r>
      <w:r w:rsidR="002C3E73">
        <w:t>damaging the environment</w:t>
      </w:r>
      <w:r w:rsidR="00F012BE">
        <w:t>’</w:t>
      </w:r>
      <w:r w:rsidR="008F6770">
        <w:t xml:space="preserve">, as well as </w:t>
      </w:r>
      <w:r w:rsidR="0046633F">
        <w:t>endangering or protecting human health</w:t>
      </w:r>
      <w:r w:rsidR="002C3E73">
        <w:t xml:space="preserve">. </w:t>
      </w:r>
      <w:r>
        <w:t xml:space="preserve"> </w:t>
      </w:r>
      <w:r w:rsidR="002C3E73">
        <w:t>But if th</w:t>
      </w:r>
      <w:r w:rsidR="0046633F">
        <w:t>e</w:t>
      </w:r>
      <w:r w:rsidR="002C3E73">
        <w:t xml:space="preserve"> references </w:t>
      </w:r>
      <w:r w:rsidR="00D64E06">
        <w:t xml:space="preserve">to </w:t>
      </w:r>
      <w:r w:rsidR="0046633F">
        <w:t xml:space="preserve">‘damaging </w:t>
      </w:r>
      <w:r w:rsidR="00D64E06">
        <w:t>the environment</w:t>
      </w:r>
      <w:r w:rsidR="0046633F">
        <w:t>’</w:t>
      </w:r>
      <w:r w:rsidR="00D64E06">
        <w:t xml:space="preserve"> </w:t>
      </w:r>
      <w:r w:rsidR="002C3E73">
        <w:t xml:space="preserve">were taken out, </w:t>
      </w:r>
      <w:r w:rsidR="0022700B">
        <w:t>that would not affect the validity of the</w:t>
      </w:r>
      <w:r w:rsidR="00F012BE">
        <w:t xml:space="preserve"> pleaded </w:t>
      </w:r>
      <w:r w:rsidR="0022700B">
        <w:t>claim</w:t>
      </w:r>
      <w:r w:rsidR="003510D7">
        <w:t>, with its</w:t>
      </w:r>
      <w:r w:rsidR="0022700B">
        <w:t xml:space="preserve"> </w:t>
      </w:r>
      <w:r w:rsidR="00F012BE">
        <w:t xml:space="preserve">necessary </w:t>
      </w:r>
      <w:r w:rsidR="0022700B">
        <w:t xml:space="preserve">link between the duty </w:t>
      </w:r>
      <w:r w:rsidR="00F012BE">
        <w:t xml:space="preserve">owed </w:t>
      </w:r>
      <w:r w:rsidR="0022700B">
        <w:t>and the damage</w:t>
      </w:r>
      <w:r w:rsidR="00F012BE">
        <w:t xml:space="preserve"> suffered</w:t>
      </w:r>
      <w:r w:rsidR="0022700B">
        <w:t>. If</w:t>
      </w:r>
      <w:r w:rsidR="00F012BE">
        <w:t>,</w:t>
      </w:r>
      <w:r w:rsidR="0022700B">
        <w:t xml:space="preserve"> however, the references to endangering or protecting human health were taken out</w:t>
      </w:r>
      <w:r w:rsidR="00F012BE">
        <w:t xml:space="preserve"> of the pleaded duty, so that</w:t>
      </w:r>
      <w:r w:rsidR="0022700B">
        <w:t xml:space="preserve"> all that was left was the duty to take reasonable steps not to damage the environment, the pleaded duty </w:t>
      </w:r>
      <w:r w:rsidR="001E5C6C">
        <w:t xml:space="preserve">would have no connection with the damage </w:t>
      </w:r>
      <w:r w:rsidR="00F012BE">
        <w:t>suffer</w:t>
      </w:r>
      <w:r w:rsidR="001E5C6C">
        <w:t xml:space="preserve">ed and the </w:t>
      </w:r>
      <w:r w:rsidR="00F012BE">
        <w:t xml:space="preserve">pleaded </w:t>
      </w:r>
      <w:r w:rsidR="001E5C6C">
        <w:t xml:space="preserve">claim would fail. </w:t>
      </w:r>
      <w:r w:rsidR="003C396B">
        <w:t xml:space="preserve"> </w:t>
      </w:r>
    </w:p>
    <w:p w14:paraId="4C8E113C" w14:textId="70627434" w:rsidR="00E13A73" w:rsidRDefault="00954285" w:rsidP="00AB117A">
      <w:pPr>
        <w:pStyle w:val="ParaLevel1"/>
      </w:pPr>
      <w:r>
        <w:t>Accordingly,</w:t>
      </w:r>
      <w:r w:rsidR="003C396B">
        <w:t xml:space="preserve"> for these reasons, I am confident that</w:t>
      </w:r>
      <w:r w:rsidR="00D64109">
        <w:t>, as a matter of construction of Article 7,</w:t>
      </w:r>
      <w:r w:rsidR="003C396B">
        <w:t xml:space="preserve"> this was not a duty which arose out of environmental damage. </w:t>
      </w:r>
    </w:p>
    <w:p w14:paraId="5494A3A0" w14:textId="5D7A04E4" w:rsidR="001D1D09" w:rsidRDefault="003C396B" w:rsidP="00AB117A">
      <w:pPr>
        <w:pStyle w:val="ParaLevel1"/>
      </w:pPr>
      <w:r>
        <w:t xml:space="preserve">Even if Mr </w:t>
      </w:r>
      <w:proofErr w:type="spellStart"/>
      <w:r>
        <w:t>Hermer</w:t>
      </w:r>
      <w:proofErr w:type="spellEnd"/>
      <w:r>
        <w:t xml:space="preserve"> was right and</w:t>
      </w:r>
      <w:r w:rsidR="001B54AE">
        <w:t>, as a matter of construction of Article 7</w:t>
      </w:r>
      <w:r w:rsidR="002039C0">
        <w:t>,</w:t>
      </w:r>
      <w:r>
        <w:t xml:space="preserve"> the court ha</w:t>
      </w:r>
      <w:r w:rsidR="002039C0">
        <w:t>d</w:t>
      </w:r>
      <w:r>
        <w:t xml:space="preserve"> to consider whether the death</w:t>
      </w:r>
      <w:r w:rsidR="003B4D9E">
        <w:t xml:space="preserve"> (rather than the duty)</w:t>
      </w:r>
      <w:r>
        <w:t xml:space="preserve"> arose out of environmental damage, the result would be the same</w:t>
      </w:r>
      <w:r w:rsidR="002039C0">
        <w:t>, and for the same reasons</w:t>
      </w:r>
      <w:r>
        <w:t xml:space="preserve">. </w:t>
      </w:r>
      <w:r w:rsidR="00D6163D">
        <w:t xml:space="preserve">Even assuming </w:t>
      </w:r>
      <w:r w:rsidR="008953A3">
        <w:t xml:space="preserve">for this purpose </w:t>
      </w:r>
      <w:r w:rsidR="00D6163D">
        <w:t xml:space="preserve">that the beaching of the vessel </w:t>
      </w:r>
      <w:r w:rsidR="00806D73">
        <w:t xml:space="preserve">itself </w:t>
      </w:r>
      <w:r w:rsidR="00CB2A8B">
        <w:t>constituted environmental damage, the deceased’s death</w:t>
      </w:r>
      <w:r>
        <w:t xml:space="preserve"> did not arise </w:t>
      </w:r>
      <w:r w:rsidR="007A6A9E">
        <w:t>out of</w:t>
      </w:r>
      <w:r>
        <w:t xml:space="preserve"> </w:t>
      </w:r>
      <w:r w:rsidR="008953A3">
        <w:t>that</w:t>
      </w:r>
      <w:r w:rsidR="004F27BA">
        <w:t xml:space="preserve"> environmental damage</w:t>
      </w:r>
      <w:r w:rsidR="00757C25">
        <w:t xml:space="preserve"> or result from such damage</w:t>
      </w:r>
      <w:r w:rsidR="00D2332C">
        <w:t xml:space="preserve">. </w:t>
      </w:r>
      <w:r w:rsidR="008E13D0">
        <w:t>Instead, t</w:t>
      </w:r>
      <w:r w:rsidR="008953A3">
        <w:t xml:space="preserve">he death arose out of the absence of safe working practices and, in particular, the absence of a safety harness. </w:t>
      </w:r>
      <w:r w:rsidR="00D2332C">
        <w:t xml:space="preserve">The </w:t>
      </w:r>
      <w:r w:rsidR="00FB69C5">
        <w:t>deceased</w:t>
      </w:r>
      <w:r w:rsidR="00C63EB2">
        <w:t xml:space="preserve"> could have been working in the most environmentally</w:t>
      </w:r>
      <w:r w:rsidR="00741BAD">
        <w:t>-</w:t>
      </w:r>
      <w:r w:rsidR="00C63EB2">
        <w:t xml:space="preserve">friendly </w:t>
      </w:r>
      <w:r w:rsidR="009569A3">
        <w:t xml:space="preserve">shipbreakers in the world, but </w:t>
      </w:r>
      <w:r w:rsidR="00741BAD">
        <w:t xml:space="preserve">sadly </w:t>
      </w:r>
      <w:r w:rsidR="009569A3">
        <w:t>the absence of a safety harness would still have killed him.</w:t>
      </w:r>
    </w:p>
    <w:p w14:paraId="339DE52A" w14:textId="1EAEE7B9" w:rsidR="003C396B" w:rsidRDefault="0048326E" w:rsidP="00AB117A">
      <w:pPr>
        <w:pStyle w:val="ParaLevel1"/>
      </w:pPr>
      <w:r>
        <w:t>To the extent that it is relevant, I note that th</w:t>
      </w:r>
      <w:r w:rsidR="001D1D09">
        <w:t>ese</w:t>
      </w:r>
      <w:r>
        <w:t xml:space="preserve"> conclusion</w:t>
      </w:r>
      <w:r w:rsidR="001D1D09">
        <w:t>s a</w:t>
      </w:r>
      <w:r w:rsidR="004C6FCF">
        <w:t>ppear to be</w:t>
      </w:r>
      <w:r>
        <w:t xml:space="preserve"> in accordance with </w:t>
      </w:r>
      <w:r w:rsidR="006815CB">
        <w:t>the t</w:t>
      </w:r>
      <w:r w:rsidR="00685452">
        <w:t>hree</w:t>
      </w:r>
      <w:r w:rsidR="006815CB">
        <w:t xml:space="preserve"> commentaries to which we were referred</w:t>
      </w:r>
      <w:r w:rsidR="000B5835">
        <w:t xml:space="preserve"> by Mr Bright</w:t>
      </w:r>
      <w:r w:rsidR="006815CB">
        <w:t xml:space="preserve">: </w:t>
      </w:r>
      <w:r w:rsidR="00C505E4" w:rsidRPr="00077FB5">
        <w:rPr>
          <w:i/>
          <w:iCs/>
        </w:rPr>
        <w:t>Dicey, Morris &amp; Collins on the Conflict of Laws</w:t>
      </w:r>
      <w:r w:rsidR="00C505E4">
        <w:t xml:space="preserve"> (15</w:t>
      </w:r>
      <w:r w:rsidR="00C505E4" w:rsidRPr="00E92153">
        <w:rPr>
          <w:vertAlign w:val="superscript"/>
        </w:rPr>
        <w:t>th</w:t>
      </w:r>
      <w:r w:rsidR="00C505E4">
        <w:t xml:space="preserve"> edition, 2018)</w:t>
      </w:r>
      <w:r w:rsidR="00B4781D">
        <w:t xml:space="preserve"> at paragraph 35-067 (which </w:t>
      </w:r>
      <w:r w:rsidR="00B5740D">
        <w:t>suggests that</w:t>
      </w:r>
      <w:r w:rsidR="00C020C5">
        <w:t xml:space="preserve">, for Article 7 to apply, </w:t>
      </w:r>
      <w:r w:rsidR="00BC4F3A">
        <w:t>personal injury damage must be ‘direct’ and must be caused by the environmental damage</w:t>
      </w:r>
      <w:r w:rsidR="00C020C5">
        <w:t>)</w:t>
      </w:r>
      <w:r w:rsidR="00BC4F3A">
        <w:t xml:space="preserve">; </w:t>
      </w:r>
      <w:r w:rsidR="00226D61" w:rsidRPr="00CB290D">
        <w:rPr>
          <w:i/>
          <w:iCs/>
        </w:rPr>
        <w:t>The European Private International Law of Obligations</w:t>
      </w:r>
      <w:r w:rsidR="00226D61">
        <w:t xml:space="preserve"> by </w:t>
      </w:r>
      <w:proofErr w:type="spellStart"/>
      <w:r w:rsidR="00226D61">
        <w:t>Plender</w:t>
      </w:r>
      <w:proofErr w:type="spellEnd"/>
      <w:r w:rsidR="00226D61">
        <w:t xml:space="preserve"> and </w:t>
      </w:r>
      <w:proofErr w:type="spellStart"/>
      <w:r w:rsidR="00226D61">
        <w:t>Wilderspin</w:t>
      </w:r>
      <w:proofErr w:type="spellEnd"/>
      <w:r w:rsidR="00226D61">
        <w:t>, 4</w:t>
      </w:r>
      <w:r w:rsidR="00226D61" w:rsidRPr="00226D61">
        <w:rPr>
          <w:vertAlign w:val="superscript"/>
        </w:rPr>
        <w:t>th</w:t>
      </w:r>
      <w:r w:rsidR="00226D61">
        <w:t xml:space="preserve"> edition</w:t>
      </w:r>
      <w:r w:rsidR="001B22EE">
        <w:t>, at pages 657-664</w:t>
      </w:r>
      <w:r w:rsidR="00085813">
        <w:t>;</w:t>
      </w:r>
      <w:r w:rsidR="00223B26">
        <w:t xml:space="preserve"> and</w:t>
      </w:r>
      <w:r w:rsidR="00DF3C91">
        <w:t xml:space="preserve"> </w:t>
      </w:r>
      <w:r w:rsidR="00DF3C91" w:rsidRPr="00CB290D">
        <w:t>Huber’s</w:t>
      </w:r>
      <w:r w:rsidR="00DF3C91" w:rsidRPr="00CB290D">
        <w:rPr>
          <w:i/>
          <w:iCs/>
        </w:rPr>
        <w:t xml:space="preserve"> </w:t>
      </w:r>
      <w:r w:rsidR="00952267" w:rsidRPr="00CB290D">
        <w:rPr>
          <w:i/>
          <w:iCs/>
        </w:rPr>
        <w:t xml:space="preserve">Rome II Regulation </w:t>
      </w:r>
      <w:r w:rsidR="00DF3C91" w:rsidRPr="00CB290D">
        <w:rPr>
          <w:i/>
          <w:iCs/>
        </w:rPr>
        <w:t>Pocket Commentary</w:t>
      </w:r>
      <w:r w:rsidR="00DF3C91">
        <w:t xml:space="preserve"> </w:t>
      </w:r>
      <w:r w:rsidR="00CB290D">
        <w:t xml:space="preserve">on Article 7, </w:t>
      </w:r>
      <w:r w:rsidR="00952267">
        <w:t xml:space="preserve">at </w:t>
      </w:r>
      <w:r w:rsidR="00CB290D">
        <w:t>212</w:t>
      </w:r>
      <w:r w:rsidR="00DF3C91">
        <w:t xml:space="preserve"> </w:t>
      </w:r>
      <w:r w:rsidR="00CB290D">
        <w:t>(</w:t>
      </w:r>
      <w:r w:rsidR="00CF2F6A">
        <w:t>which states</w:t>
      </w:r>
      <w:r w:rsidR="004C5ED8">
        <w:t>, in a chapter written by A</w:t>
      </w:r>
      <w:r w:rsidR="00BE291E">
        <w:t>ngelika Fuchs,</w:t>
      </w:r>
      <w:r w:rsidR="00CF2F6A">
        <w:t xml:space="preserve"> that personal injuries are included in Article 7</w:t>
      </w:r>
      <w:r w:rsidR="004C5ED8">
        <w:t xml:space="preserve"> “if, and only if, they result from damages to the environment”).</w:t>
      </w:r>
      <w:r w:rsidR="00B74B10">
        <w:t xml:space="preserve"> Mr </w:t>
      </w:r>
      <w:proofErr w:type="spellStart"/>
      <w:r w:rsidR="00B74B10">
        <w:t>Hermer</w:t>
      </w:r>
      <w:proofErr w:type="spellEnd"/>
      <w:r w:rsidR="00B74B10">
        <w:t xml:space="preserve"> did not refer to, much less challenge, these passages.</w:t>
      </w:r>
    </w:p>
    <w:p w14:paraId="4C57139F" w14:textId="3F822380" w:rsidR="003C396B" w:rsidRDefault="003C396B" w:rsidP="00AB117A">
      <w:pPr>
        <w:pStyle w:val="ParaLevel1"/>
      </w:pPr>
      <w:r>
        <w:t xml:space="preserve">Just stepping back and looking at Article 7 in the round, it </w:t>
      </w:r>
      <w:r w:rsidR="004E2108">
        <w:t>seems</w:t>
      </w:r>
      <w:r>
        <w:t xml:space="preserve"> </w:t>
      </w:r>
      <w:r w:rsidR="00446625">
        <w:t>reasonably</w:t>
      </w:r>
      <w:r>
        <w:t xml:space="preserve"> clear what it is designed to do. Some countries will have more lax standards as to environmental risks than others. If</w:t>
      </w:r>
      <w:r w:rsidR="000D7FBE">
        <w:t>, say,</w:t>
      </w:r>
      <w:r>
        <w:t xml:space="preserve"> a </w:t>
      </w:r>
      <w:r w:rsidR="00D70977">
        <w:t xml:space="preserve">state or a person </w:t>
      </w:r>
      <w:r w:rsidR="00AB4320">
        <w:t xml:space="preserve">suffers environmental damage in country A, because of a petrol-chemical plant in </w:t>
      </w:r>
      <w:r w:rsidR="00070C1E">
        <w:t xml:space="preserve">a less environmentally-aware </w:t>
      </w:r>
      <w:r w:rsidR="00AB4320">
        <w:t>count</w:t>
      </w:r>
      <w:r w:rsidR="00FD40BF">
        <w:t>r</w:t>
      </w:r>
      <w:r w:rsidR="00AB4320">
        <w:t>y B</w:t>
      </w:r>
      <w:r w:rsidR="004E2108">
        <w:t>,</w:t>
      </w:r>
      <w:r w:rsidR="00AB4320">
        <w:t xml:space="preserve"> </w:t>
      </w:r>
      <w:r w:rsidR="00312019">
        <w:t>five</w:t>
      </w:r>
      <w:r w:rsidR="00AB4320">
        <w:t xml:space="preserve"> miles over the border, </w:t>
      </w:r>
      <w:r w:rsidR="00C80C33">
        <w:t xml:space="preserve">Article 7 is designed to </w:t>
      </w:r>
      <w:r w:rsidR="00DC212B">
        <w:t>give</w:t>
      </w:r>
      <w:r w:rsidR="00C80C33">
        <w:t xml:space="preserve"> country A or its citizens t</w:t>
      </w:r>
      <w:r w:rsidR="008977C9">
        <w:t xml:space="preserve">he </w:t>
      </w:r>
      <w:r w:rsidR="00D86922">
        <w:t>choice</w:t>
      </w:r>
      <w:r w:rsidR="008977C9">
        <w:t xml:space="preserve"> t</w:t>
      </w:r>
      <w:r w:rsidR="00C80C33">
        <w:t>o use its courts to bring the claim</w:t>
      </w:r>
      <w:r w:rsidR="00083182">
        <w:t xml:space="preserve"> against the plant</w:t>
      </w:r>
      <w:r w:rsidR="00DC212B">
        <w:t xml:space="preserve"> in country B</w:t>
      </w:r>
      <w:r w:rsidR="00446625">
        <w:t xml:space="preserve">: </w:t>
      </w:r>
      <w:r w:rsidR="00C22C3B">
        <w:t>see</w:t>
      </w:r>
      <w:r w:rsidR="00DE0D51">
        <w:t xml:space="preserve"> </w:t>
      </w:r>
      <w:r w:rsidR="00DE0D51" w:rsidRPr="00DE0D51">
        <w:rPr>
          <w:i/>
          <w:iCs/>
        </w:rPr>
        <w:t>Dicey, Morris &amp; Collins</w:t>
      </w:r>
      <w:r w:rsidR="00C22C3B">
        <w:t xml:space="preserve"> </w:t>
      </w:r>
      <w:r w:rsidR="00E92153">
        <w:t xml:space="preserve">at </w:t>
      </w:r>
      <w:r w:rsidR="00077FB5">
        <w:t>35-070</w:t>
      </w:r>
      <w:r w:rsidR="00C80C33">
        <w:t>. All of that is a million miles away from the facts of this case.</w:t>
      </w:r>
    </w:p>
    <w:p w14:paraId="0FF9CEAB" w14:textId="24065A10" w:rsidR="002564C5" w:rsidRDefault="00DF6E96" w:rsidP="00AB117A">
      <w:pPr>
        <w:pStyle w:val="ParaLevel1"/>
      </w:pPr>
      <w:r>
        <w:t xml:space="preserve">Moreover, if Mr </w:t>
      </w:r>
      <w:proofErr w:type="spellStart"/>
      <w:r>
        <w:t>Hermer’s</w:t>
      </w:r>
      <w:proofErr w:type="spellEnd"/>
      <w:r>
        <w:t xml:space="preserve"> submission was correct, Article 7 would apply </w:t>
      </w:r>
      <w:r w:rsidR="00601738">
        <w:t>to</w:t>
      </w:r>
      <w:r>
        <w:t xml:space="preserve"> every claim for damage to person</w:t>
      </w:r>
      <w:r w:rsidR="00601738">
        <w:t>s</w:t>
      </w:r>
      <w:r>
        <w:t xml:space="preserve"> and property</w:t>
      </w:r>
      <w:r w:rsidR="00601738">
        <w:t xml:space="preserve">, provided that there was </w:t>
      </w:r>
      <w:r w:rsidR="00292424">
        <w:t xml:space="preserve">some sort of </w:t>
      </w:r>
      <w:r w:rsidR="00D15937">
        <w:t xml:space="preserve">a link (as he put it) to some </w:t>
      </w:r>
      <w:r w:rsidR="00967EB7">
        <w:t>other</w:t>
      </w:r>
      <w:r w:rsidR="00D15937">
        <w:t xml:space="preserve"> environmental damage</w:t>
      </w:r>
      <w:r w:rsidR="00967EB7">
        <w:t>, even if</w:t>
      </w:r>
      <w:r w:rsidR="00D15937">
        <w:t xml:space="preserve"> that </w:t>
      </w:r>
      <w:r w:rsidR="00967EB7">
        <w:t xml:space="preserve">environmental damage was </w:t>
      </w:r>
      <w:r w:rsidR="00967EB7">
        <w:lastRenderedPageBreak/>
        <w:t>incidental</w:t>
      </w:r>
      <w:r w:rsidR="00431127">
        <w:t>, in that it</w:t>
      </w:r>
      <w:r w:rsidR="00967EB7">
        <w:t xml:space="preserve"> </w:t>
      </w:r>
      <w:r w:rsidR="00D15937">
        <w:t xml:space="preserve">was not the subject of the claim. </w:t>
      </w:r>
      <w:r w:rsidR="00C90B47">
        <w:t xml:space="preserve">He suggested that </w:t>
      </w:r>
      <w:r w:rsidR="006761D0">
        <w:t xml:space="preserve">Article </w:t>
      </w:r>
      <w:r w:rsidR="0052201C">
        <w:t xml:space="preserve">7 </w:t>
      </w:r>
      <w:r w:rsidR="006761D0">
        <w:t xml:space="preserve">would not apply if the vessel had been in a dry dock, but </w:t>
      </w:r>
      <w:r w:rsidR="0052201C">
        <w:t>if his broad interpretation</w:t>
      </w:r>
      <w:r w:rsidR="007843B5">
        <w:t xml:space="preserve"> </w:t>
      </w:r>
      <w:r w:rsidR="00431127">
        <w:t>i</w:t>
      </w:r>
      <w:r w:rsidR="0052201C">
        <w:t xml:space="preserve">s right, </w:t>
      </w:r>
      <w:r w:rsidR="00E87938">
        <w:t xml:space="preserve">it would be inevitable that some </w:t>
      </w:r>
      <w:r w:rsidR="00C936AD">
        <w:t xml:space="preserve">(albeit limited) </w:t>
      </w:r>
      <w:r w:rsidR="00E87938">
        <w:t>environmental damage would be caused by</w:t>
      </w:r>
      <w:r w:rsidR="00C936AD">
        <w:t>, say,</w:t>
      </w:r>
      <w:r w:rsidR="00E87938">
        <w:t xml:space="preserve"> the cutting up of the </w:t>
      </w:r>
      <w:r w:rsidR="00C936AD">
        <w:t>steel hull</w:t>
      </w:r>
      <w:r w:rsidR="0010610A">
        <w:t xml:space="preserve">, even if the workplace was </w:t>
      </w:r>
      <w:r w:rsidR="0006479F">
        <w:t xml:space="preserve">generally </w:t>
      </w:r>
      <w:r w:rsidR="0010610A">
        <w:t xml:space="preserve">safe. </w:t>
      </w:r>
      <w:r w:rsidR="008759F2">
        <w:t xml:space="preserve">So Article 7 would </w:t>
      </w:r>
      <w:r w:rsidR="00C63EB2">
        <w:t xml:space="preserve">still </w:t>
      </w:r>
      <w:r w:rsidR="008759F2">
        <w:t xml:space="preserve">apply. </w:t>
      </w:r>
      <w:r w:rsidR="00D15937">
        <w:t xml:space="preserve">That would </w:t>
      </w:r>
      <w:r w:rsidR="005326CA">
        <w:t xml:space="preserve">be an astonishing </w:t>
      </w:r>
      <w:r w:rsidR="008759F2">
        <w:t>interpretation</w:t>
      </w:r>
      <w:r w:rsidR="005326CA">
        <w:t xml:space="preserve">, giving </w:t>
      </w:r>
      <w:r w:rsidR="00B51358">
        <w:t>Article 7</w:t>
      </w:r>
      <w:r w:rsidR="005326CA">
        <w:t xml:space="preserve"> a scope and an impact which cannot be discerned from its words, or the commentaries </w:t>
      </w:r>
      <w:r w:rsidR="00150892">
        <w:t>up</w:t>
      </w:r>
      <w:r w:rsidR="005326CA">
        <w:t xml:space="preserve">on it. The absence </w:t>
      </w:r>
      <w:r w:rsidR="0067251C">
        <w:t xml:space="preserve">of any caselaw to that effect is also </w:t>
      </w:r>
      <w:r w:rsidR="007A40AD">
        <w:t>an indication that it cannot have such a broad application.</w:t>
      </w:r>
    </w:p>
    <w:p w14:paraId="400BC0FC" w14:textId="7075644D" w:rsidR="00C80C33" w:rsidRDefault="009C0783" w:rsidP="00AB117A">
      <w:pPr>
        <w:pStyle w:val="ParaLevel1"/>
      </w:pPr>
      <w:r>
        <w:t>Although</w:t>
      </w:r>
      <w:r w:rsidR="00F33AE2">
        <w:t xml:space="preserve"> my views as to environmental damage</w:t>
      </w:r>
      <w:r>
        <w:t xml:space="preserve"> make it</w:t>
      </w:r>
      <w:r w:rsidR="00F33AE2">
        <w:t xml:space="preserve"> unnecessary to reach a concluded view as to whether or not “the event giving rise to the </w:t>
      </w:r>
      <w:r w:rsidR="00314826">
        <w:t xml:space="preserve">[environmental] </w:t>
      </w:r>
      <w:r w:rsidR="00F33AE2">
        <w:t xml:space="preserve">damage” could be said </w:t>
      </w:r>
      <w:r w:rsidR="00257D6D">
        <w:t xml:space="preserve">in this case </w:t>
      </w:r>
      <w:r w:rsidR="00F33AE2">
        <w:t>to be England</w:t>
      </w:r>
      <w:r w:rsidR="00120487">
        <w:t>,</w:t>
      </w:r>
      <w:r w:rsidR="00F33AE2">
        <w:t xml:space="preserve"> I think the</w:t>
      </w:r>
      <w:r w:rsidR="00F121C5">
        <w:t>re is a</w:t>
      </w:r>
      <w:r w:rsidR="00F33AE2">
        <w:t xml:space="preserve"> funda</w:t>
      </w:r>
      <w:r w:rsidR="008E5194">
        <w:t>mental difficult</w:t>
      </w:r>
      <w:r w:rsidR="00F121C5">
        <w:t>y</w:t>
      </w:r>
      <w:r w:rsidR="008E5194">
        <w:t xml:space="preserve"> with the </w:t>
      </w:r>
      <w:r w:rsidR="00950003">
        <w:t>Respondent</w:t>
      </w:r>
      <w:r w:rsidR="008E5194">
        <w:t xml:space="preserve">’s argument </w:t>
      </w:r>
      <w:r w:rsidR="00314826">
        <w:t xml:space="preserve">on that </w:t>
      </w:r>
      <w:r>
        <w:t xml:space="preserve">aspect of the construction </w:t>
      </w:r>
      <w:r w:rsidR="00314826">
        <w:t>too</w:t>
      </w:r>
      <w:r w:rsidR="009B4F73">
        <w:t xml:space="preserve">. The </w:t>
      </w:r>
      <w:r w:rsidR="00950003">
        <w:t>Respondent</w:t>
      </w:r>
      <w:r w:rsidR="00F121C5">
        <w:t xml:space="preserve"> has to say</w:t>
      </w:r>
      <w:r w:rsidR="008E5194">
        <w:t xml:space="preserve"> </w:t>
      </w:r>
      <w:r w:rsidR="00120487">
        <w:t xml:space="preserve">that </w:t>
      </w:r>
      <w:r w:rsidR="008E5194">
        <w:t xml:space="preserve">the event </w:t>
      </w:r>
      <w:r w:rsidR="00034680">
        <w:t>which gave rise to the damage was</w:t>
      </w:r>
      <w:r w:rsidR="008E5194">
        <w:t xml:space="preserve"> the sale of the </w:t>
      </w:r>
      <w:r w:rsidR="00034680">
        <w:t>vessel</w:t>
      </w:r>
      <w:r w:rsidR="008E5194">
        <w:t>, an event which</w:t>
      </w:r>
      <w:r w:rsidR="00A75C54">
        <w:t>,</w:t>
      </w:r>
      <w:r w:rsidR="008E5194">
        <w:t xml:space="preserve"> of itself, was a mere paper transaction</w:t>
      </w:r>
      <w:r w:rsidR="00430EE1">
        <w:t xml:space="preserve"> with no direct </w:t>
      </w:r>
      <w:r w:rsidR="009E276D">
        <w:t xml:space="preserve">effect on the </w:t>
      </w:r>
      <w:r w:rsidR="00430EE1">
        <w:t>environment at all.</w:t>
      </w:r>
      <w:r w:rsidR="00540FC1">
        <w:t xml:space="preserve"> </w:t>
      </w:r>
      <w:r w:rsidR="008D298A">
        <w:t xml:space="preserve">The same paragraph in </w:t>
      </w:r>
      <w:r w:rsidR="008D298A" w:rsidRPr="005319F6">
        <w:rPr>
          <w:i/>
          <w:iCs/>
        </w:rPr>
        <w:t xml:space="preserve">Dicey, </w:t>
      </w:r>
      <w:r w:rsidR="005319F6" w:rsidRPr="005319F6">
        <w:rPr>
          <w:i/>
          <w:iCs/>
        </w:rPr>
        <w:t>M</w:t>
      </w:r>
      <w:r w:rsidR="008D298A" w:rsidRPr="005319F6">
        <w:rPr>
          <w:i/>
          <w:iCs/>
        </w:rPr>
        <w:t xml:space="preserve">orris </w:t>
      </w:r>
      <w:r w:rsidR="005319F6">
        <w:rPr>
          <w:i/>
          <w:iCs/>
        </w:rPr>
        <w:t>&amp;</w:t>
      </w:r>
      <w:r w:rsidR="008D298A" w:rsidRPr="005319F6">
        <w:rPr>
          <w:i/>
          <w:iCs/>
        </w:rPr>
        <w:t xml:space="preserve"> Collins</w:t>
      </w:r>
      <w:r w:rsidR="008D298A">
        <w:t xml:space="preserve"> noted </w:t>
      </w:r>
      <w:r w:rsidR="00BA1731">
        <w:t>in the previous paragraph</w:t>
      </w:r>
      <w:r w:rsidR="008D298A">
        <w:t xml:space="preserve"> suggests that the event giving rise to the damage </w:t>
      </w:r>
      <w:r w:rsidR="00B6531B">
        <w:t xml:space="preserve">should be identified with “the human activity which is the principal or substantial cause of the environmental damage”. </w:t>
      </w:r>
      <w:r>
        <w:t>I</w:t>
      </w:r>
      <w:r w:rsidR="005F5BB8">
        <w:t>n this case,</w:t>
      </w:r>
      <w:r w:rsidR="00B6531B">
        <w:t xml:space="preserve"> </w:t>
      </w:r>
      <w:r>
        <w:t xml:space="preserve">that must </w:t>
      </w:r>
      <w:r w:rsidR="00B6531B">
        <w:t xml:space="preserve">be the demolition </w:t>
      </w:r>
      <w:r w:rsidR="00E7568B">
        <w:t xml:space="preserve">of the vessel </w:t>
      </w:r>
      <w:r w:rsidR="00B6531B">
        <w:t xml:space="preserve">in </w:t>
      </w:r>
      <w:proofErr w:type="spellStart"/>
      <w:r w:rsidR="00B6531B">
        <w:t>Chattogram</w:t>
      </w:r>
      <w:proofErr w:type="spellEnd"/>
      <w:r w:rsidR="00B6531B">
        <w:t>.</w:t>
      </w:r>
      <w:r w:rsidR="001677C9">
        <w:t xml:space="preserve"> </w:t>
      </w:r>
    </w:p>
    <w:p w14:paraId="5D1B9AC7" w14:textId="094495B6" w:rsidR="00B8274E" w:rsidRDefault="00BD39B3" w:rsidP="00AB117A">
      <w:pPr>
        <w:pStyle w:val="ParaLevel1"/>
      </w:pPr>
      <w:r>
        <w:t xml:space="preserve">Contrary to Mr </w:t>
      </w:r>
      <w:proofErr w:type="spellStart"/>
      <w:r>
        <w:t>Hermer’s</w:t>
      </w:r>
      <w:proofErr w:type="spellEnd"/>
      <w:r>
        <w:t xml:space="preserve"> submissions, I consider that</w:t>
      </w:r>
      <w:r w:rsidR="000B3CD9">
        <w:t xml:space="preserve"> th</w:t>
      </w:r>
      <w:r w:rsidR="009E276D">
        <w:t>is</w:t>
      </w:r>
      <w:r w:rsidR="000B3CD9">
        <w:t xml:space="preserve"> </w:t>
      </w:r>
      <w:r w:rsidR="00786D4F">
        <w:t xml:space="preserve">is the </w:t>
      </w:r>
      <w:r>
        <w:t xml:space="preserve">common sense interpretation of the words </w:t>
      </w:r>
      <w:r w:rsidR="008E15BB">
        <w:t>“events giving rise to the damage…”</w:t>
      </w:r>
      <w:r w:rsidR="00286B55">
        <w:t>.</w:t>
      </w:r>
      <w:r w:rsidR="008E15BB">
        <w:t xml:space="preserve"> </w:t>
      </w:r>
      <w:r w:rsidR="00DE5A95">
        <w:t xml:space="preserve">Furthermore, </w:t>
      </w:r>
      <w:r w:rsidR="00372DEA">
        <w:t xml:space="preserve">I consider that </w:t>
      </w:r>
      <w:r w:rsidR="00DE5A95">
        <w:t>the Swedish authority to which he referred (</w:t>
      </w:r>
      <w:r w:rsidR="00F83D34" w:rsidRPr="00AD5C47">
        <w:rPr>
          <w:i/>
          <w:iCs/>
        </w:rPr>
        <w:t>Arica Victims KB v Boliden Minerals</w:t>
      </w:r>
      <w:r w:rsidR="00F83D34">
        <w:t xml:space="preserve"> (2019) </w:t>
      </w:r>
      <w:proofErr w:type="spellStart"/>
      <w:r w:rsidR="00F83D34">
        <w:t>Ovre</w:t>
      </w:r>
      <w:proofErr w:type="spellEnd"/>
      <w:r w:rsidR="00F83D34">
        <w:t xml:space="preserve"> </w:t>
      </w:r>
      <w:r w:rsidR="00AD5C47">
        <w:t xml:space="preserve">Norrland Court of Appeal), </w:t>
      </w:r>
      <w:r w:rsidR="00372DEA">
        <w:t xml:space="preserve">was also against him. There the damage caused by the wet sludge took place in Chile, but </w:t>
      </w:r>
      <w:r w:rsidR="00367D6F">
        <w:t>the Swedish court accepted jurisdictio</w:t>
      </w:r>
      <w:r w:rsidR="00F95C83">
        <w:t>n. That was not</w:t>
      </w:r>
      <w:r w:rsidR="00DF63B1">
        <w:t xml:space="preserve"> (as Mr </w:t>
      </w:r>
      <w:proofErr w:type="spellStart"/>
      <w:r w:rsidR="00DF63B1">
        <w:t>Hermer</w:t>
      </w:r>
      <w:proofErr w:type="spellEnd"/>
      <w:r w:rsidR="00DF63B1">
        <w:t xml:space="preserve"> suggested)</w:t>
      </w:r>
      <w:r w:rsidR="00F95C83">
        <w:t xml:space="preserve"> because the first event in the chain happened</w:t>
      </w:r>
      <w:r w:rsidR="00902C72">
        <w:t xml:space="preserve"> to be</w:t>
      </w:r>
      <w:r w:rsidR="00F95C83">
        <w:t xml:space="preserve"> in Sweden, but because </w:t>
      </w:r>
      <w:r w:rsidR="00BF3FE6">
        <w:t>the defendant was a Swedish comp</w:t>
      </w:r>
      <w:r w:rsidR="00792D5D">
        <w:t xml:space="preserve">any, and </w:t>
      </w:r>
      <w:r w:rsidR="00F95C83">
        <w:t>numerous relevant and significant events happened in Sweden</w:t>
      </w:r>
      <w:r w:rsidR="00930FF3">
        <w:t xml:space="preserve">, including </w:t>
      </w:r>
      <w:r w:rsidR="00DF63B1">
        <w:t>meetings</w:t>
      </w:r>
      <w:r w:rsidR="00930FF3">
        <w:t xml:space="preserve"> with </w:t>
      </w:r>
      <w:r w:rsidR="00DF63B1">
        <w:t>the</w:t>
      </w:r>
      <w:r w:rsidR="00930FF3">
        <w:t xml:space="preserve"> Swedish</w:t>
      </w:r>
      <w:r w:rsidR="00DF63B1">
        <w:t xml:space="preserve"> Environmental </w:t>
      </w:r>
      <w:r w:rsidR="00792D5D">
        <w:t>P</w:t>
      </w:r>
      <w:r w:rsidR="00DF63B1">
        <w:t xml:space="preserve">rotection Agency </w:t>
      </w:r>
      <w:r w:rsidR="00B8274E">
        <w:t xml:space="preserve">and </w:t>
      </w:r>
      <w:r w:rsidR="00792D5D">
        <w:t xml:space="preserve">other key </w:t>
      </w:r>
      <w:r w:rsidR="00B8274E">
        <w:t xml:space="preserve">decisions about who would take over </w:t>
      </w:r>
      <w:r w:rsidR="00792D5D">
        <w:t xml:space="preserve">responsibility for </w:t>
      </w:r>
      <w:r w:rsidR="00B8274E">
        <w:t xml:space="preserve">the wet sludge. </w:t>
      </w:r>
    </w:p>
    <w:p w14:paraId="4282E14A" w14:textId="520EB6B6" w:rsidR="00BD39B3" w:rsidRDefault="00B8274E" w:rsidP="00AB117A">
      <w:pPr>
        <w:pStyle w:val="ParaLevel1"/>
      </w:pPr>
      <w:r>
        <w:t xml:space="preserve">In this way, the </w:t>
      </w:r>
      <w:r w:rsidR="008407D1" w:rsidRPr="008407D1">
        <w:rPr>
          <w:i/>
          <w:iCs/>
        </w:rPr>
        <w:t>Arica</w:t>
      </w:r>
      <w:r w:rsidR="008407D1">
        <w:t xml:space="preserve"> </w:t>
      </w:r>
      <w:r>
        <w:t xml:space="preserve">case </w:t>
      </w:r>
      <w:r w:rsidR="00B369FA">
        <w:t>i</w:t>
      </w:r>
      <w:r>
        <w:t xml:space="preserve">s </w:t>
      </w:r>
      <w:r w:rsidR="00B8776B">
        <w:t xml:space="preserve">simply </w:t>
      </w:r>
      <w:r w:rsidR="00075B3F">
        <w:t>an example of the equivalent</w:t>
      </w:r>
      <w:r w:rsidR="00D76C97">
        <w:t xml:space="preserve"> English law as to jurisdiction in tort claims, </w:t>
      </w:r>
      <w:r w:rsidR="00CC75F3">
        <w:t xml:space="preserve">where the claiming party </w:t>
      </w:r>
      <w:r w:rsidR="00210F2F">
        <w:t>who wishes to litigate in England</w:t>
      </w:r>
      <w:r w:rsidR="00F6541E">
        <w:t xml:space="preserve"> </w:t>
      </w:r>
      <w:r w:rsidR="00CC75F3">
        <w:t xml:space="preserve">needs to show that </w:t>
      </w:r>
      <w:r w:rsidR="00F11796">
        <w:t>“the damage has resulted from substantial and efficacious acts</w:t>
      </w:r>
      <w:r w:rsidR="00376A46">
        <w:t xml:space="preserve"> committed within the jurisdiction”: </w:t>
      </w:r>
      <w:proofErr w:type="spellStart"/>
      <w:r w:rsidR="00376A46" w:rsidRPr="00590CA0">
        <w:rPr>
          <w:i/>
          <w:iCs/>
        </w:rPr>
        <w:t>Metall</w:t>
      </w:r>
      <w:proofErr w:type="spellEnd"/>
      <w:r w:rsidR="00376A46" w:rsidRPr="00590CA0">
        <w:rPr>
          <w:i/>
          <w:iCs/>
        </w:rPr>
        <w:t xml:space="preserve"> und </w:t>
      </w:r>
      <w:proofErr w:type="spellStart"/>
      <w:r w:rsidR="00376A46" w:rsidRPr="00590CA0">
        <w:rPr>
          <w:i/>
          <w:iCs/>
        </w:rPr>
        <w:t>Rohstoff</w:t>
      </w:r>
      <w:proofErr w:type="spellEnd"/>
      <w:r w:rsidR="00376A46" w:rsidRPr="00590CA0">
        <w:rPr>
          <w:i/>
          <w:iCs/>
        </w:rPr>
        <w:t xml:space="preserve"> v Donaldson</w:t>
      </w:r>
      <w:r w:rsidR="00376A46">
        <w:t xml:space="preserve"> </w:t>
      </w:r>
      <w:r w:rsidR="00590CA0">
        <w:t xml:space="preserve">[1990] </w:t>
      </w:r>
      <w:r w:rsidR="00376A46">
        <w:t xml:space="preserve">1 QB </w:t>
      </w:r>
      <w:r w:rsidR="00590CA0">
        <w:t xml:space="preserve">391 at 437 E-G. </w:t>
      </w:r>
      <w:r w:rsidR="007E48FE" w:rsidRPr="007E48FE">
        <w:rPr>
          <w:i/>
          <w:iCs/>
        </w:rPr>
        <w:t>Arica</w:t>
      </w:r>
      <w:r w:rsidR="00590CA0">
        <w:t xml:space="preserve"> is not authority for any proposition or principle</w:t>
      </w:r>
      <w:r w:rsidR="007E48FE">
        <w:t xml:space="preserve">, much less the suggestion that you </w:t>
      </w:r>
      <w:r w:rsidR="00F6541E">
        <w:t xml:space="preserve">simply </w:t>
      </w:r>
      <w:r w:rsidR="007E48FE">
        <w:t xml:space="preserve">take the first event in </w:t>
      </w:r>
      <w:r w:rsidR="006E0AC8">
        <w:t>a chain of events</w:t>
      </w:r>
      <w:r w:rsidR="007E48FE">
        <w:t xml:space="preserve"> as being </w:t>
      </w:r>
      <w:r w:rsidR="00214709">
        <w:t>“the event giving rise to the damage”.</w:t>
      </w:r>
    </w:p>
    <w:p w14:paraId="21AEB9FD" w14:textId="2B6AAB3C" w:rsidR="00430EE1" w:rsidRDefault="0023378F" w:rsidP="00AB117A">
      <w:pPr>
        <w:pStyle w:val="ParaLevel1"/>
      </w:pPr>
      <w:r>
        <w:t>For these reasons</w:t>
      </w:r>
      <w:r w:rsidR="00430EE1">
        <w:t xml:space="preserve">, I consider that the judge was wrong to find that it was arguable that Article 7 was engaged in this case. </w:t>
      </w:r>
      <w:r w:rsidR="00DF3DB4">
        <w:t>As a matter of construction, i</w:t>
      </w:r>
      <w:r>
        <w:t xml:space="preserve">t </w:t>
      </w:r>
      <w:r w:rsidR="00FF0D6A">
        <w:t xml:space="preserve">plainly </w:t>
      </w:r>
      <w:r>
        <w:t>was not.</w:t>
      </w:r>
      <w:r w:rsidR="00E7568B">
        <w:t xml:space="preserve"> Thus the first potential way round the one</w:t>
      </w:r>
      <w:r w:rsidR="00286B55">
        <w:t>-</w:t>
      </w:r>
      <w:r w:rsidR="00E7568B">
        <w:t xml:space="preserve">year limitation period is not </w:t>
      </w:r>
      <w:r w:rsidR="00555550">
        <w:t xml:space="preserve">therefore </w:t>
      </w:r>
      <w:r w:rsidR="00E7568B">
        <w:t xml:space="preserve">open to the </w:t>
      </w:r>
      <w:r w:rsidR="00950003">
        <w:t>Respondent</w:t>
      </w:r>
      <w:r w:rsidR="00E7568B">
        <w:t>.</w:t>
      </w:r>
    </w:p>
    <w:p w14:paraId="5A669A7A" w14:textId="3FCF0C68" w:rsidR="007A627B" w:rsidRPr="007A627B" w:rsidRDefault="007A627B" w:rsidP="00AB117A">
      <w:pPr>
        <w:pStyle w:val="ParaLevel1"/>
        <w:numPr>
          <w:ilvl w:val="0"/>
          <w:numId w:val="0"/>
        </w:numPr>
        <w:rPr>
          <w:b/>
          <w:u w:val="single"/>
        </w:rPr>
      </w:pPr>
      <w:r w:rsidRPr="007A627B">
        <w:rPr>
          <w:b/>
          <w:u w:val="single"/>
        </w:rPr>
        <w:t>10 ARTICLE 26</w:t>
      </w:r>
    </w:p>
    <w:p w14:paraId="051BB705" w14:textId="5D4AFBEA" w:rsidR="007A627B" w:rsidRDefault="005C2778" w:rsidP="00AB117A">
      <w:pPr>
        <w:pStyle w:val="ParaLevel1"/>
      </w:pPr>
      <w:r>
        <w:t>Article 26 of Rome II provides:</w:t>
      </w:r>
    </w:p>
    <w:p w14:paraId="20AF35B9" w14:textId="3007AA69" w:rsidR="005C2778" w:rsidRDefault="005C2778" w:rsidP="00AB117A">
      <w:pPr>
        <w:pStyle w:val="ParaLevel1"/>
        <w:numPr>
          <w:ilvl w:val="0"/>
          <w:numId w:val="0"/>
        </w:numPr>
        <w:ind w:left="1418" w:right="851"/>
      </w:pPr>
      <w:r>
        <w:lastRenderedPageBreak/>
        <w:t>“The application of a provision of the law of any country specified by this Regulation may be refused only i</w:t>
      </w:r>
      <w:r w:rsidR="00710CB5">
        <w:t>f</w:t>
      </w:r>
      <w:r>
        <w:t xml:space="preserve"> such application is manifestly incompatible </w:t>
      </w:r>
      <w:r w:rsidR="00E055A5">
        <w:t>with the public policy (</w:t>
      </w:r>
      <w:proofErr w:type="spellStart"/>
      <w:r w:rsidR="00E055A5" w:rsidRPr="00FF0D6A">
        <w:rPr>
          <w:i/>
          <w:iCs/>
        </w:rPr>
        <w:t>ordre</w:t>
      </w:r>
      <w:proofErr w:type="spellEnd"/>
      <w:r w:rsidR="00E055A5" w:rsidRPr="00FF0D6A">
        <w:rPr>
          <w:i/>
          <w:iCs/>
        </w:rPr>
        <w:t xml:space="preserve"> public</w:t>
      </w:r>
      <w:r w:rsidR="00E055A5">
        <w:t>) of the forum”</w:t>
      </w:r>
      <w:r>
        <w:t xml:space="preserve"> </w:t>
      </w:r>
    </w:p>
    <w:p w14:paraId="3DD88717" w14:textId="77777777" w:rsidR="00247C7B" w:rsidRDefault="00247C7B" w:rsidP="00AB117A">
      <w:pPr>
        <w:pStyle w:val="ParaLevel1"/>
      </w:pPr>
      <w:r>
        <w:t>Recital 32 provides:</w:t>
      </w:r>
    </w:p>
    <w:p w14:paraId="63DF45F1" w14:textId="224CCFE3" w:rsidR="007A627B" w:rsidRDefault="00247C7B" w:rsidP="00AB117A">
      <w:pPr>
        <w:pStyle w:val="ParaLevel1"/>
        <w:numPr>
          <w:ilvl w:val="0"/>
          <w:numId w:val="0"/>
        </w:numPr>
        <w:ind w:left="1418" w:right="851"/>
      </w:pPr>
      <w:r>
        <w:t>“</w:t>
      </w:r>
      <w:r w:rsidR="003F7211">
        <w:t>C</w:t>
      </w:r>
      <w:r w:rsidR="00F84124">
        <w:t>onsiderations of public interest justify giving the courts of the Member States the possibility, in exceptional circumstances, of applying exceptions base</w:t>
      </w:r>
      <w:r w:rsidR="003F7211">
        <w:t>d</w:t>
      </w:r>
      <w:r w:rsidR="00F84124">
        <w:t xml:space="preserve"> on </w:t>
      </w:r>
      <w:r w:rsidR="003F7211">
        <w:t>public policy and overriding mandatory provisions. In particular, the application of a provision of the law designated by this Regulation which would have the effect of causing non</w:t>
      </w:r>
      <w:r w:rsidR="00D62D5E">
        <w:t>-compensatory exemplary or punitive damages of an excessive nature to be awarded may, depending</w:t>
      </w:r>
      <w:r w:rsidR="00251704">
        <w:t xml:space="preserve"> </w:t>
      </w:r>
      <w:r w:rsidR="00D62D5E">
        <w:t xml:space="preserve">on the </w:t>
      </w:r>
      <w:r w:rsidR="00342560">
        <w:t xml:space="preserve">circumstances of the case and the legal order of the Member </w:t>
      </w:r>
      <w:r w:rsidR="007A627B">
        <w:t>S</w:t>
      </w:r>
      <w:r w:rsidR="00342560">
        <w:t xml:space="preserve">tate of the court </w:t>
      </w:r>
      <w:proofErr w:type="spellStart"/>
      <w:r w:rsidR="00342560">
        <w:t>sei</w:t>
      </w:r>
      <w:r w:rsidR="00A43DC4">
        <w:t>s</w:t>
      </w:r>
      <w:r w:rsidR="00342560">
        <w:t>ed</w:t>
      </w:r>
      <w:proofErr w:type="spellEnd"/>
      <w:r w:rsidR="00A43DC4">
        <w:t>, be regarded as being contrary to the public policy (</w:t>
      </w:r>
      <w:proofErr w:type="spellStart"/>
      <w:r w:rsidR="00A43DC4" w:rsidRPr="004B5247">
        <w:rPr>
          <w:i/>
          <w:iCs/>
        </w:rPr>
        <w:t>ordre</w:t>
      </w:r>
      <w:proofErr w:type="spellEnd"/>
      <w:r w:rsidR="00A43DC4" w:rsidRPr="004B5247">
        <w:rPr>
          <w:i/>
          <w:iCs/>
        </w:rPr>
        <w:t xml:space="preserve"> public</w:t>
      </w:r>
      <w:r w:rsidR="00A43DC4">
        <w:t>) of the forum”.</w:t>
      </w:r>
    </w:p>
    <w:p w14:paraId="151F3203" w14:textId="77777777" w:rsidR="00671C92" w:rsidRDefault="00A67A28" w:rsidP="00AB117A">
      <w:pPr>
        <w:pStyle w:val="ParaLevel1"/>
      </w:pPr>
      <w:r>
        <w:t>The parties were agreed that this provision was echoed in Section 2 of the Foreign Limitation Periods Act 1984</w:t>
      </w:r>
      <w:r w:rsidR="00671C92">
        <w:t xml:space="preserve"> which provides:</w:t>
      </w:r>
    </w:p>
    <w:p w14:paraId="06CF515A" w14:textId="089FE890" w:rsidR="005616FD" w:rsidRDefault="00671C92" w:rsidP="00AB117A">
      <w:pPr>
        <w:pStyle w:val="ParaLevel1"/>
        <w:numPr>
          <w:ilvl w:val="0"/>
          <w:numId w:val="0"/>
        </w:numPr>
        <w:ind w:left="1418" w:right="851"/>
      </w:pPr>
      <w:r>
        <w:t>“(1) In any case in which the application of Section</w:t>
      </w:r>
      <w:r w:rsidR="004B5247">
        <w:t xml:space="preserve"> </w:t>
      </w:r>
      <w:r w:rsidR="006A7D1D">
        <w:t>1</w:t>
      </w:r>
      <w:r w:rsidR="004B5247">
        <w:t xml:space="preserve"> </w:t>
      </w:r>
      <w:r w:rsidR="006A7D1D">
        <w:t xml:space="preserve">above would to any extent conflict (whether under subsection (2) below or otherwise) with public policy, that section shall not apply to the extent </w:t>
      </w:r>
      <w:r w:rsidR="008A212C">
        <w:t xml:space="preserve">that its application would so conflict. </w:t>
      </w:r>
    </w:p>
    <w:p w14:paraId="7E7103EC" w14:textId="27256987" w:rsidR="007A627B" w:rsidRDefault="008A212C" w:rsidP="00AB117A">
      <w:pPr>
        <w:pStyle w:val="ParaLevel1"/>
        <w:numPr>
          <w:ilvl w:val="0"/>
          <w:numId w:val="0"/>
        </w:numPr>
        <w:ind w:left="1418" w:right="851"/>
      </w:pPr>
      <w:r>
        <w:t>(2) The application of Section 1 above in relation to any action o</w:t>
      </w:r>
      <w:r w:rsidR="00975798">
        <w:t>r</w:t>
      </w:r>
      <w:r>
        <w:t xml:space="preserve"> proceedings shall conflict with public policy to the extent that its application would cause undue ha</w:t>
      </w:r>
      <w:r w:rsidR="00F070BA">
        <w:t>rdship to a person who is, or might be made, a party to the action or proceedings”</w:t>
      </w:r>
    </w:p>
    <w:p w14:paraId="413CF236" w14:textId="17157568" w:rsidR="0017472A" w:rsidRDefault="008F1C1A" w:rsidP="00AB117A">
      <w:pPr>
        <w:pStyle w:val="ParaLevel1"/>
      </w:pPr>
      <w:r>
        <w:t>T</w:t>
      </w:r>
      <w:r w:rsidR="00541BD0">
        <w:t xml:space="preserve">he argument put forward by the </w:t>
      </w:r>
      <w:r w:rsidR="00950003">
        <w:t>Respondent</w:t>
      </w:r>
      <w:r w:rsidR="00541BD0">
        <w:t xml:space="preserve"> is that the one</w:t>
      </w:r>
      <w:r w:rsidR="00286B55">
        <w:t>-</w:t>
      </w:r>
      <w:r w:rsidR="00541BD0">
        <w:t>year time limit imposed by Bangladeshi law should be disapplied</w:t>
      </w:r>
      <w:r w:rsidR="00DD7260">
        <w:t xml:space="preserve"> by operation of Article 26</w:t>
      </w:r>
      <w:r w:rsidR="00541BD0">
        <w:t xml:space="preserve">. The prime reason for that </w:t>
      </w:r>
      <w:r w:rsidR="0047653F">
        <w:t>wa</w:t>
      </w:r>
      <w:r w:rsidR="00541BD0">
        <w:t xml:space="preserve">s an argument </w:t>
      </w:r>
      <w:r w:rsidR="0017472A">
        <w:t xml:space="preserve">concerned with undue hardship. On appeal, Mr </w:t>
      </w:r>
      <w:proofErr w:type="spellStart"/>
      <w:r w:rsidR="0017472A">
        <w:t>Hermer</w:t>
      </w:r>
      <w:proofErr w:type="spellEnd"/>
      <w:r w:rsidR="0017472A">
        <w:t xml:space="preserve"> also relied, rather more faintly</w:t>
      </w:r>
      <w:r>
        <w:t>,</w:t>
      </w:r>
      <w:r w:rsidR="0017472A">
        <w:t xml:space="preserve"> on general public policy. </w:t>
      </w:r>
    </w:p>
    <w:p w14:paraId="1391E503" w14:textId="77777777" w:rsidR="00967A30" w:rsidRDefault="0017472A" w:rsidP="00AB117A">
      <w:pPr>
        <w:pStyle w:val="ParaLevel1"/>
      </w:pPr>
      <w:r>
        <w:t>The judge dealt with the point briskly:</w:t>
      </w:r>
    </w:p>
    <w:p w14:paraId="5480433A" w14:textId="5584E708" w:rsidR="007A627B" w:rsidRDefault="00967A30" w:rsidP="00AB117A">
      <w:pPr>
        <w:pStyle w:val="ParaLevel1"/>
        <w:numPr>
          <w:ilvl w:val="0"/>
          <w:numId w:val="0"/>
        </w:numPr>
        <w:ind w:left="1418" w:right="851"/>
      </w:pPr>
      <w:r>
        <w:t>“</w:t>
      </w:r>
      <w:bookmarkStart w:id="15" w:name="para85"/>
      <w:r w:rsidR="00EF3812">
        <w:t xml:space="preserve">85. </w:t>
      </w:r>
      <w:r>
        <w:t xml:space="preserve">Mr </w:t>
      </w:r>
      <w:proofErr w:type="spellStart"/>
      <w:r>
        <w:t>Hermer's</w:t>
      </w:r>
      <w:proofErr w:type="spellEnd"/>
      <w:r>
        <w:t xml:space="preserve"> Reply and skeleton argument raised the application of the public policy exception under Article 26 of Rome II to the one-year non-extendable Bangladeshi limitation period, assuming that it was applicable. At the hearing, the submissions in support of this contention, made both orally and in writing, were exiguous on both sides. According to the Reply, the claimant had had no previous access to justice against the defendant, but pre-action correspondence written before 30</w:t>
      </w:r>
      <w:r>
        <w:rPr>
          <w:vertAlign w:val="superscript"/>
        </w:rPr>
        <w:t>th</w:t>
      </w:r>
      <w:r>
        <w:t xml:space="preserve"> March 2019 demonstrates that averment to be incorrect. The Reply also asserts that the egregious nature of the defendant's breach of duty is relevant. In my view the focus must be principally on whether it would be offensive in English law to countenance the application of so short a limitation period, and the submissions on this aspect were light indeed. Aside from taking a pleading point, Mr Bright did not advance a substantive rebuttal. Thus, I am asked to resolve this issue on a basis that is far from satisfactory. My conclusion is that it would </w:t>
      </w:r>
      <w:r>
        <w:lastRenderedPageBreak/>
        <w:t>not be right to determine the issue at this stage, and certainly not in the defendant's favour. If the overriding objective and reasons of proportionality support the definitive resolution of the Article 26 issue in advance of the trial, the Court may come back to it.</w:t>
      </w:r>
      <w:r w:rsidR="00310E91">
        <w:t>”</w:t>
      </w:r>
      <w:r>
        <w:t xml:space="preserve"> </w:t>
      </w:r>
      <w:bookmarkEnd w:id="15"/>
    </w:p>
    <w:p w14:paraId="6B2B89B4" w14:textId="1E8AE7F1" w:rsidR="007A627B" w:rsidRDefault="00863926" w:rsidP="00AB117A">
      <w:pPr>
        <w:pStyle w:val="ParaLevel1"/>
        <w:numPr>
          <w:ilvl w:val="0"/>
          <w:numId w:val="0"/>
        </w:numPr>
        <w:ind w:left="720"/>
      </w:pPr>
      <w:r>
        <w:t>In other word</w:t>
      </w:r>
      <w:r w:rsidR="00EF3812">
        <w:t>s</w:t>
      </w:r>
      <w:r>
        <w:t>, the judge rejected the argument as to undue hardship because of the pre-action correspondence</w:t>
      </w:r>
      <w:r w:rsidR="008F1C1A">
        <w:t>,</w:t>
      </w:r>
      <w:r w:rsidR="00C422BA">
        <w:t xml:space="preserve"> but concluded that any wider arguments as to whether or not </w:t>
      </w:r>
      <w:r w:rsidR="00143F4D">
        <w:t>the one</w:t>
      </w:r>
      <w:r w:rsidR="00286B55">
        <w:t>-</w:t>
      </w:r>
      <w:r w:rsidR="00143F4D">
        <w:t>year limitation period</w:t>
      </w:r>
      <w:r w:rsidR="00C422BA">
        <w:t xml:space="preserve"> would be offensive in English law should be resolved by way of a preliminary issue.</w:t>
      </w:r>
    </w:p>
    <w:p w14:paraId="6B9F4481" w14:textId="1784C7CC" w:rsidR="00EF3812" w:rsidRDefault="008A04B0" w:rsidP="00AB117A">
      <w:pPr>
        <w:pStyle w:val="ParaLevel1"/>
      </w:pPr>
      <w:r>
        <w:t xml:space="preserve">Mr </w:t>
      </w:r>
      <w:proofErr w:type="spellStart"/>
      <w:r>
        <w:t>Hermer</w:t>
      </w:r>
      <w:proofErr w:type="spellEnd"/>
      <w:r>
        <w:t xml:space="preserve"> sought to support that conclusion in front of us. He </w:t>
      </w:r>
      <w:r w:rsidR="00AE63AA">
        <w:t>submitted</w:t>
      </w:r>
      <w:r>
        <w:t xml:space="preserve"> that the </w:t>
      </w:r>
      <w:r w:rsidR="00FA1E5D">
        <w:t xml:space="preserve">Article 26 </w:t>
      </w:r>
      <w:r>
        <w:t xml:space="preserve">point could not be decided without evidence, in particular evidence relating to whether or not </w:t>
      </w:r>
      <w:r w:rsidR="00616978">
        <w:t xml:space="preserve">the </w:t>
      </w:r>
      <w:r w:rsidR="00950003">
        <w:t>Respondent</w:t>
      </w:r>
      <w:r w:rsidR="00616978">
        <w:t xml:space="preserve"> would suffer undue hardship </w:t>
      </w:r>
      <w:r w:rsidR="0098337F">
        <w:t>and</w:t>
      </w:r>
      <w:r w:rsidR="00616978">
        <w:t xml:space="preserve"> whether </w:t>
      </w:r>
      <w:r w:rsidR="00994E62">
        <w:t xml:space="preserve">or not </w:t>
      </w:r>
      <w:r w:rsidR="00616978">
        <w:t>there would be a denial of access to justice</w:t>
      </w:r>
      <w:r w:rsidR="004824A6">
        <w:t xml:space="preserve">. </w:t>
      </w:r>
      <w:r w:rsidR="007C076F">
        <w:t>That rather overlooked the point that th</w:t>
      </w:r>
      <w:r w:rsidR="001841E0">
        <w:t xml:space="preserve">e judge had already decided that issue against the </w:t>
      </w:r>
      <w:r w:rsidR="00950003">
        <w:t>Respondent</w:t>
      </w:r>
      <w:r w:rsidR="00D4211C">
        <w:t xml:space="preserve"> because the pre-action correspondence showed that she had had access to Leigh Day well before the expiry of the limitation period.</w:t>
      </w:r>
    </w:p>
    <w:p w14:paraId="14BB79CE" w14:textId="425D5CC5" w:rsidR="004824A6" w:rsidRPr="00D61044" w:rsidRDefault="00DC7292" w:rsidP="00AB117A">
      <w:pPr>
        <w:pStyle w:val="ParaLevel1"/>
        <w:numPr>
          <w:ilvl w:val="0"/>
          <w:numId w:val="0"/>
        </w:numPr>
        <w:rPr>
          <w:b/>
        </w:rPr>
      </w:pPr>
      <w:r w:rsidRPr="00D61044">
        <w:rPr>
          <w:b/>
        </w:rPr>
        <w:t>Undue Hardship</w:t>
      </w:r>
    </w:p>
    <w:p w14:paraId="3FC74533" w14:textId="5C618661" w:rsidR="003551F5" w:rsidRDefault="009E3DB7" w:rsidP="00AB117A">
      <w:pPr>
        <w:pStyle w:val="ParaLevel1"/>
      </w:pPr>
      <w:r>
        <w:t>Accordingly, t</w:t>
      </w:r>
      <w:r w:rsidR="00AC0826">
        <w:t>he first question is to decide whether undue hardship is in play in this appeal at all.</w:t>
      </w:r>
      <w:r>
        <w:t xml:space="preserve"> T</w:t>
      </w:r>
      <w:r w:rsidR="00B9387B">
        <w:t>here is no</w:t>
      </w:r>
      <w:r w:rsidR="00BF0E2B">
        <w:t xml:space="preserve"> cross-</w:t>
      </w:r>
      <w:r w:rsidR="00181D93">
        <w:t xml:space="preserve">appeal, </w:t>
      </w:r>
      <w:r w:rsidR="00B9387B">
        <w:t xml:space="preserve">which </w:t>
      </w:r>
      <w:r w:rsidR="009049FC">
        <w:t xml:space="preserve">would normally </w:t>
      </w:r>
      <w:r w:rsidR="00B9387B">
        <w:t>make it</w:t>
      </w:r>
      <w:r w:rsidR="007C3E3C">
        <w:t xml:space="preserve"> difficult </w:t>
      </w:r>
      <w:r w:rsidR="005D22FE">
        <w:t>for</w:t>
      </w:r>
      <w:r w:rsidR="00181D93">
        <w:t xml:space="preserve"> </w:t>
      </w:r>
      <w:r w:rsidR="007C3E3C">
        <w:t>a</w:t>
      </w:r>
      <w:r w:rsidR="00181D93">
        <w:t xml:space="preserve"> </w:t>
      </w:r>
      <w:r w:rsidR="00950003">
        <w:t>Respondent</w:t>
      </w:r>
      <w:r w:rsidR="00181D93">
        <w:t xml:space="preserve"> </w:t>
      </w:r>
      <w:r>
        <w:t>to</w:t>
      </w:r>
      <w:r w:rsidR="007C3E3C">
        <w:t xml:space="preserve"> be able to</w:t>
      </w:r>
      <w:r w:rsidR="00181D93">
        <w:t xml:space="preserve"> re</w:t>
      </w:r>
      <w:r>
        <w:t>open</w:t>
      </w:r>
      <w:r w:rsidR="00181D93">
        <w:t xml:space="preserve"> this point</w:t>
      </w:r>
      <w:r>
        <w:t>.</w:t>
      </w:r>
      <w:r w:rsidR="007C3E3C">
        <w:t xml:space="preserve"> </w:t>
      </w:r>
      <w:r w:rsidR="0035686C">
        <w:t xml:space="preserve">That said, </w:t>
      </w:r>
      <w:r w:rsidR="007C3E3C">
        <w:t>I am conscious that this case</w:t>
      </w:r>
      <w:r w:rsidR="0019349C">
        <w:t xml:space="preserve"> is rather unusual. The Article 26 issue only arose after the hearing itself, and</w:t>
      </w:r>
      <w:r w:rsidR="00AB6A9D">
        <w:t xml:space="preserve"> the judge </w:t>
      </w:r>
      <w:r w:rsidR="009514FC">
        <w:t xml:space="preserve">dealt with the point </w:t>
      </w:r>
      <w:r w:rsidR="0035686C">
        <w:t xml:space="preserve">very much </w:t>
      </w:r>
      <w:r w:rsidR="009514FC">
        <w:t xml:space="preserve">in passing, and at the stage of </w:t>
      </w:r>
      <w:r w:rsidR="0019349C">
        <w:t>corrections to his</w:t>
      </w:r>
      <w:r w:rsidR="009514FC">
        <w:t xml:space="preserve"> draft judgment</w:t>
      </w:r>
      <w:r w:rsidR="00DB38A1">
        <w:t>.</w:t>
      </w:r>
      <w:r w:rsidR="00F21140">
        <w:t xml:space="preserve"> </w:t>
      </w:r>
      <w:r w:rsidR="00567FC6">
        <w:t>Through no fault of the judge, i</w:t>
      </w:r>
      <w:r w:rsidR="00F21140">
        <w:t>t cannot be said to have been fully ventilated.</w:t>
      </w:r>
    </w:p>
    <w:p w14:paraId="0B1E869B" w14:textId="09EF7E84" w:rsidR="00CC0659" w:rsidRDefault="00CC0659" w:rsidP="00AB117A">
      <w:pPr>
        <w:pStyle w:val="ParaLevel1"/>
      </w:pPr>
      <w:r>
        <w:t xml:space="preserve">In my view, the just course is this. </w:t>
      </w:r>
      <w:r w:rsidR="004B5BAF">
        <w:t xml:space="preserve">The </w:t>
      </w:r>
      <w:r w:rsidR="00950003">
        <w:t>Respondent</w:t>
      </w:r>
      <w:r w:rsidR="004B5BAF">
        <w:t xml:space="preserve"> should be allowed to reopen the judge’s conclusion </w:t>
      </w:r>
      <w:r w:rsidR="00837A7F">
        <w:t>on undue hardship, but only to the limited extent identified in the recent exchanges</w:t>
      </w:r>
      <w:r w:rsidR="00294AC9">
        <w:t xml:space="preserve"> between the parties</w:t>
      </w:r>
      <w:r w:rsidR="00837A7F">
        <w:t xml:space="preserve"> and </w:t>
      </w:r>
      <w:r w:rsidR="00294AC9">
        <w:t>outlined below.</w:t>
      </w:r>
    </w:p>
    <w:p w14:paraId="204E524F" w14:textId="6D970A81" w:rsidR="00AE3FF3" w:rsidRDefault="00937504" w:rsidP="00AB117A">
      <w:pPr>
        <w:pStyle w:val="ParaLevel1"/>
      </w:pPr>
      <w:r>
        <w:t xml:space="preserve">The best-known </w:t>
      </w:r>
      <w:r w:rsidR="00294AC9">
        <w:t>authority</w:t>
      </w:r>
      <w:r>
        <w:t xml:space="preserve"> </w:t>
      </w:r>
      <w:r w:rsidR="003F26F6">
        <w:t xml:space="preserve">dealing with </w:t>
      </w:r>
      <w:r w:rsidR="00471E30">
        <w:t>undue hardship</w:t>
      </w:r>
      <w:r w:rsidR="003F26F6">
        <w:t xml:space="preserve"> is the decision of </w:t>
      </w:r>
      <w:proofErr w:type="spellStart"/>
      <w:r w:rsidR="003F26F6">
        <w:t>Wilkie</w:t>
      </w:r>
      <w:proofErr w:type="spellEnd"/>
      <w:r w:rsidR="003F26F6">
        <w:t xml:space="preserve"> J in </w:t>
      </w:r>
      <w:proofErr w:type="spellStart"/>
      <w:r w:rsidR="003F26F6" w:rsidRPr="003F26F6">
        <w:rPr>
          <w:i/>
        </w:rPr>
        <w:t>KXL</w:t>
      </w:r>
      <w:proofErr w:type="spellEnd"/>
      <w:r w:rsidR="003F26F6" w:rsidRPr="003F26F6">
        <w:rPr>
          <w:i/>
        </w:rPr>
        <w:t xml:space="preserve"> v Murphy </w:t>
      </w:r>
      <w:r w:rsidR="003F26F6">
        <w:t>[2</w:t>
      </w:r>
      <w:r w:rsidR="00AE3FF3">
        <w:t xml:space="preserve">016] </w:t>
      </w:r>
      <w:proofErr w:type="spellStart"/>
      <w:r w:rsidR="00AE3FF3">
        <w:t>EWHC</w:t>
      </w:r>
      <w:proofErr w:type="spellEnd"/>
      <w:r w:rsidR="00AE3FF3">
        <w:t xml:space="preserve"> 3102 (QB) where he identified a number of propositions from the </w:t>
      </w:r>
      <w:r w:rsidR="00A97726">
        <w:t>earlier cases</w:t>
      </w:r>
      <w:r w:rsidR="00AE3FF3">
        <w:t>. These inclu</w:t>
      </w:r>
      <w:r w:rsidR="00EF3812">
        <w:t>d</w:t>
      </w:r>
      <w:r w:rsidR="00AE3FF3">
        <w:t>ed that:</w:t>
      </w:r>
    </w:p>
    <w:p w14:paraId="6F0CDFF5" w14:textId="51F0CC0F" w:rsidR="007D4353" w:rsidRDefault="007D4353" w:rsidP="00AB117A">
      <w:pPr>
        <w:pStyle w:val="ParaLevel1"/>
        <w:numPr>
          <w:ilvl w:val="0"/>
          <w:numId w:val="0"/>
        </w:numPr>
        <w:spacing w:before="0"/>
        <w:ind w:left="720"/>
      </w:pPr>
      <w:r>
        <w:t xml:space="preserve">a) </w:t>
      </w:r>
      <w:r w:rsidR="00F7578A">
        <w:t>‘Undue’ in this context means ‘excessive’ (</w:t>
      </w:r>
      <w:r w:rsidR="00F86902">
        <w:rPr>
          <w:i/>
        </w:rPr>
        <w:t>Jones v Trollop</w:t>
      </w:r>
      <w:r w:rsidR="00AF4BEC">
        <w:rPr>
          <w:i/>
        </w:rPr>
        <w:t>e</w:t>
      </w:r>
      <w:r w:rsidR="00F86902">
        <w:rPr>
          <w:i/>
        </w:rPr>
        <w:t xml:space="preserve"> Col</w:t>
      </w:r>
      <w:r w:rsidR="00EC67CE">
        <w:rPr>
          <w:i/>
        </w:rPr>
        <w:t>ls</w:t>
      </w:r>
      <w:r w:rsidR="00F86902">
        <w:rPr>
          <w:i/>
        </w:rPr>
        <w:t xml:space="preserve"> Cementation Overseas Limited</w:t>
      </w:r>
      <w:r w:rsidR="00E16CD9">
        <w:rPr>
          <w:i/>
        </w:rPr>
        <w:t xml:space="preserve">, </w:t>
      </w:r>
      <w:r w:rsidR="00F86902">
        <w:t>The Times January 26 1990 (CA)</w:t>
      </w:r>
      <w:r w:rsidR="00286B55">
        <w:t>)</w:t>
      </w:r>
      <w:r w:rsidR="00AF4BEC">
        <w:t xml:space="preserve">; </w:t>
      </w:r>
    </w:p>
    <w:p w14:paraId="40B0200C" w14:textId="7854D18C" w:rsidR="007D4353" w:rsidRDefault="007D4353" w:rsidP="00AB117A">
      <w:pPr>
        <w:pStyle w:val="ParaLevel1"/>
        <w:numPr>
          <w:ilvl w:val="0"/>
          <w:numId w:val="0"/>
        </w:numPr>
        <w:spacing w:before="0"/>
        <w:ind w:left="720"/>
      </w:pPr>
      <w:r>
        <w:t xml:space="preserve">b) </w:t>
      </w:r>
      <w:r w:rsidR="00C83D21">
        <w:t>T</w:t>
      </w:r>
      <w:r w:rsidR="00AF4BEC">
        <w:t xml:space="preserve">he focus is on the undue hardship caused to the claimant by the application of a </w:t>
      </w:r>
      <w:r w:rsidR="00254E54">
        <w:t>f</w:t>
      </w:r>
      <w:r w:rsidR="00AF4BEC">
        <w:t xml:space="preserve">oreign </w:t>
      </w:r>
      <w:r w:rsidR="00254E54">
        <w:t>l</w:t>
      </w:r>
      <w:r w:rsidR="00AF4BEC">
        <w:t xml:space="preserve">imitation </w:t>
      </w:r>
      <w:r w:rsidR="00254E54">
        <w:t>p</w:t>
      </w:r>
      <w:r w:rsidR="00AF4BEC">
        <w:t xml:space="preserve">eriod over and above that inevitably caused by the application of the </w:t>
      </w:r>
      <w:r w:rsidR="006F513A">
        <w:t>f</w:t>
      </w:r>
      <w:r w:rsidR="00AF4BEC">
        <w:t xml:space="preserve">oreign </w:t>
      </w:r>
      <w:r w:rsidR="00254E54">
        <w:t>li</w:t>
      </w:r>
      <w:r w:rsidR="000673C3">
        <w:t xml:space="preserve">mitation </w:t>
      </w:r>
      <w:r w:rsidR="00254E54">
        <w:t>p</w:t>
      </w:r>
      <w:r w:rsidR="000673C3">
        <w:t>eriod in question (</w:t>
      </w:r>
      <w:r w:rsidR="000673C3">
        <w:rPr>
          <w:i/>
        </w:rPr>
        <w:t>Jones</w:t>
      </w:r>
      <w:r w:rsidR="00C77DA4">
        <w:rPr>
          <w:i/>
        </w:rPr>
        <w:t>)</w:t>
      </w:r>
      <w:r w:rsidR="006E2751">
        <w:t>;</w:t>
      </w:r>
    </w:p>
    <w:p w14:paraId="470AD381" w14:textId="71C15A81" w:rsidR="0006016B" w:rsidRDefault="0006016B" w:rsidP="00AB117A">
      <w:pPr>
        <w:pStyle w:val="ParaLevel1"/>
        <w:numPr>
          <w:ilvl w:val="0"/>
          <w:numId w:val="0"/>
        </w:numPr>
        <w:spacing w:before="0"/>
        <w:ind w:left="720"/>
      </w:pPr>
      <w:r>
        <w:t>c)</w:t>
      </w:r>
      <w:r w:rsidR="000673C3">
        <w:rPr>
          <w:i/>
        </w:rPr>
        <w:t xml:space="preserve"> </w:t>
      </w:r>
      <w:r w:rsidR="00C83D21">
        <w:t>I</w:t>
      </w:r>
      <w:r w:rsidR="000673C3">
        <w:t xml:space="preserve">f, within the </w:t>
      </w:r>
      <w:r w:rsidR="00254E54">
        <w:t>fo</w:t>
      </w:r>
      <w:r w:rsidR="000673C3">
        <w:t xml:space="preserve">reign </w:t>
      </w:r>
      <w:r w:rsidR="00254E54">
        <w:t>l</w:t>
      </w:r>
      <w:r w:rsidR="000673C3">
        <w:t xml:space="preserve">imitation </w:t>
      </w:r>
      <w:r w:rsidR="00254E54">
        <w:t>p</w:t>
      </w:r>
      <w:r w:rsidR="000673C3">
        <w:t xml:space="preserve">eriod, the claimant acquires all the material required for bring the action, it is not contrary to public policy to apply the </w:t>
      </w:r>
      <w:r w:rsidR="00B52845">
        <w:t>f</w:t>
      </w:r>
      <w:r w:rsidR="000673C3">
        <w:t xml:space="preserve">oreign </w:t>
      </w:r>
      <w:r w:rsidR="00B52845">
        <w:t>r</w:t>
      </w:r>
      <w:r w:rsidR="000673C3">
        <w:t>ule</w:t>
      </w:r>
      <w:r w:rsidR="00B52845">
        <w:t>,</w:t>
      </w:r>
      <w:r w:rsidR="000673C3">
        <w:t xml:space="preserve"> even if he is only a few days late in commencing the proceedings (</w:t>
      </w:r>
      <w:r w:rsidR="000673C3">
        <w:rPr>
          <w:i/>
        </w:rPr>
        <w:t xml:space="preserve">Arab Monetary Fund v Hashim and </w:t>
      </w:r>
      <w:r w:rsidR="000673C3" w:rsidRPr="00B52845">
        <w:rPr>
          <w:i/>
          <w:iCs/>
        </w:rPr>
        <w:t>Others</w:t>
      </w:r>
      <w:r w:rsidR="00C77DA4">
        <w:t xml:space="preserve"> </w:t>
      </w:r>
      <w:r w:rsidR="000673C3">
        <w:t>[1993] 1 Lloyd’s Rep</w:t>
      </w:r>
      <w:r w:rsidR="0053401B">
        <w:t>.</w:t>
      </w:r>
      <w:r w:rsidR="000673C3">
        <w:t xml:space="preserve"> 5</w:t>
      </w:r>
      <w:r w:rsidR="00966F3A">
        <w:t>4</w:t>
      </w:r>
      <w:r w:rsidR="000673C3">
        <w:t>3)</w:t>
      </w:r>
      <w:r w:rsidR="0053401B">
        <w:t xml:space="preserve">; </w:t>
      </w:r>
    </w:p>
    <w:p w14:paraId="4143A0EF" w14:textId="21B9EC52" w:rsidR="00EF3812" w:rsidRDefault="0006016B" w:rsidP="00AB117A">
      <w:pPr>
        <w:pStyle w:val="ParaLevel1"/>
        <w:numPr>
          <w:ilvl w:val="0"/>
          <w:numId w:val="0"/>
        </w:numPr>
        <w:spacing w:before="0"/>
        <w:ind w:left="720"/>
      </w:pPr>
      <w:r>
        <w:t xml:space="preserve">d) </w:t>
      </w:r>
      <w:r w:rsidR="00C83D21">
        <w:t>T</w:t>
      </w:r>
      <w:r w:rsidR="0053401B">
        <w:t>he fact that a claimant did not issue in time on account of inaccurate legal advice as to the limitation period does not suffice</w:t>
      </w:r>
      <w:r w:rsidR="00966F3A">
        <w:t>,</w:t>
      </w:r>
      <w:r w:rsidR="0053401B">
        <w:t xml:space="preserve"> as a hardship would not have been caused by the </w:t>
      </w:r>
      <w:r w:rsidR="00AB1B3A">
        <w:t>f</w:t>
      </w:r>
      <w:r w:rsidR="0053401B">
        <w:t>oreig</w:t>
      </w:r>
      <w:r w:rsidR="00240878">
        <w:t>n</w:t>
      </w:r>
      <w:r w:rsidR="0053401B">
        <w:t xml:space="preserve"> </w:t>
      </w:r>
      <w:r w:rsidR="00AB1B3A">
        <w:t>l</w:t>
      </w:r>
      <w:r w:rsidR="0053401B">
        <w:t>im</w:t>
      </w:r>
      <w:r w:rsidR="00240878">
        <w:t>itatio</w:t>
      </w:r>
      <w:r w:rsidR="0053401B">
        <w:t xml:space="preserve">n </w:t>
      </w:r>
      <w:r w:rsidR="00AB1B3A">
        <w:t>p</w:t>
      </w:r>
      <w:r w:rsidR="0053401B">
        <w:t>eriod (</w:t>
      </w:r>
      <w:r w:rsidR="0053401B">
        <w:rPr>
          <w:i/>
        </w:rPr>
        <w:t>H</w:t>
      </w:r>
      <w:r w:rsidR="00240878">
        <w:rPr>
          <w:i/>
        </w:rPr>
        <w:t xml:space="preserve">arley v Smith </w:t>
      </w:r>
      <w:r w:rsidR="00240878">
        <w:t xml:space="preserve">[2010] </w:t>
      </w:r>
      <w:proofErr w:type="spellStart"/>
      <w:r w:rsidR="00240878">
        <w:t>EWCA</w:t>
      </w:r>
      <w:proofErr w:type="spellEnd"/>
      <w:r w:rsidR="00240878">
        <w:t xml:space="preserve"> </w:t>
      </w:r>
      <w:proofErr w:type="spellStart"/>
      <w:r w:rsidR="00240878">
        <w:t>Civ</w:t>
      </w:r>
      <w:proofErr w:type="spellEnd"/>
      <w:r w:rsidR="00240878">
        <w:t xml:space="preserve"> 78).</w:t>
      </w:r>
      <w:r w:rsidR="00F86902">
        <w:t xml:space="preserve"> </w:t>
      </w:r>
    </w:p>
    <w:p w14:paraId="2B19161F" w14:textId="76E9F33D" w:rsidR="00EF3812" w:rsidRDefault="00496A95" w:rsidP="00AB117A">
      <w:pPr>
        <w:pStyle w:val="ParaLevel1"/>
      </w:pPr>
      <w:r>
        <w:lastRenderedPageBreak/>
        <w:t xml:space="preserve">This approach has been </w:t>
      </w:r>
      <w:r w:rsidR="002319AD">
        <w:t xml:space="preserve">followed </w:t>
      </w:r>
      <w:r>
        <w:t xml:space="preserve">in a number of subsequent cases including </w:t>
      </w:r>
      <w:r w:rsidR="0050445D" w:rsidRPr="0050445D">
        <w:rPr>
          <w:i/>
        </w:rPr>
        <w:t xml:space="preserve">Kazakhstan v </w:t>
      </w:r>
      <w:proofErr w:type="spellStart"/>
      <w:r w:rsidR="0050445D" w:rsidRPr="0050445D">
        <w:rPr>
          <w:i/>
        </w:rPr>
        <w:t>Zhunus</w:t>
      </w:r>
      <w:proofErr w:type="spellEnd"/>
      <w:r w:rsidR="00422ADF">
        <w:rPr>
          <w:i/>
        </w:rPr>
        <w:t xml:space="preserve"> </w:t>
      </w:r>
      <w:r w:rsidR="00422ADF">
        <w:t xml:space="preserve">[2017] </w:t>
      </w:r>
      <w:proofErr w:type="spellStart"/>
      <w:r w:rsidR="00422ADF">
        <w:t>EWHC</w:t>
      </w:r>
      <w:proofErr w:type="spellEnd"/>
      <w:r w:rsidR="00422ADF">
        <w:t xml:space="preserve"> 3374 (Comm)</w:t>
      </w:r>
      <w:r w:rsidR="005028A6">
        <w:t xml:space="preserve"> and </w:t>
      </w:r>
      <w:r w:rsidR="005028A6">
        <w:rPr>
          <w:i/>
        </w:rPr>
        <w:t>Roberts v Ministry of Defence</w:t>
      </w:r>
      <w:r w:rsidR="005028A6">
        <w:t xml:space="preserve"> [2020] </w:t>
      </w:r>
      <w:proofErr w:type="spellStart"/>
      <w:r w:rsidR="005028A6">
        <w:t>EWHC</w:t>
      </w:r>
      <w:proofErr w:type="spellEnd"/>
      <w:r w:rsidR="005028A6">
        <w:t xml:space="preserve"> 994 (QB).</w:t>
      </w:r>
    </w:p>
    <w:p w14:paraId="44E50421" w14:textId="66902016" w:rsidR="00F12C27" w:rsidRDefault="00315D6A" w:rsidP="00AB117A">
      <w:pPr>
        <w:pStyle w:val="ParaLevel1"/>
      </w:pPr>
      <w:r>
        <w:t xml:space="preserve">I accept Mr </w:t>
      </w:r>
      <w:proofErr w:type="spellStart"/>
      <w:r>
        <w:t>Hermer’s</w:t>
      </w:r>
      <w:proofErr w:type="spellEnd"/>
      <w:r>
        <w:t xml:space="preserve"> submission that, in an ordinary case, evidence as to what </w:t>
      </w:r>
      <w:r w:rsidR="005B5682">
        <w:t xml:space="preserve">legal resources </w:t>
      </w:r>
      <w:r>
        <w:t xml:space="preserve">the </w:t>
      </w:r>
      <w:r w:rsidR="00950003">
        <w:t>Respondent</w:t>
      </w:r>
      <w:r>
        <w:t xml:space="preserve"> had available </w:t>
      </w:r>
      <w:r w:rsidR="00AC5495">
        <w:t>to her</w:t>
      </w:r>
      <w:r w:rsidR="002319AD">
        <w:t>,</w:t>
      </w:r>
      <w:r>
        <w:t xml:space="preserve"> the nature of her communications with </w:t>
      </w:r>
      <w:r w:rsidR="002319AD">
        <w:t>her solicitors</w:t>
      </w:r>
      <w:r w:rsidR="00845E57">
        <w:t>,</w:t>
      </w:r>
      <w:r>
        <w:t xml:space="preserve"> and how</w:t>
      </w:r>
      <w:r w:rsidR="00845E57">
        <w:t xml:space="preserve"> and when</w:t>
      </w:r>
      <w:r>
        <w:t xml:space="preserve"> those were facilitated</w:t>
      </w:r>
      <w:r w:rsidR="005B5682">
        <w:t>,</w:t>
      </w:r>
      <w:r>
        <w:t xml:space="preserve"> might well be </w:t>
      </w:r>
      <w:r w:rsidR="00845E57">
        <w:t xml:space="preserve">directly </w:t>
      </w:r>
      <w:r>
        <w:t xml:space="preserve">relevant to any consideration of undue hardship and access to justice. But </w:t>
      </w:r>
      <w:r w:rsidR="008054E0">
        <w:t xml:space="preserve">I am confident that </w:t>
      </w:r>
      <w:r>
        <w:t>none of that is relevant in the present case</w:t>
      </w:r>
      <w:r w:rsidR="00433B78">
        <w:t>,</w:t>
      </w:r>
      <w:r>
        <w:t xml:space="preserve"> because we know</w:t>
      </w:r>
      <w:r w:rsidR="00845E57">
        <w:t xml:space="preserve"> – and as the judge found - </w:t>
      </w:r>
      <w:r>
        <w:t xml:space="preserve"> that, on 22 January 2019, Leigh Day sent a </w:t>
      </w:r>
      <w:r w:rsidR="00433B78">
        <w:t>13</w:t>
      </w:r>
      <w:r w:rsidR="00286B55">
        <w:t>-</w:t>
      </w:r>
      <w:r>
        <w:t xml:space="preserve">page letter of claim to the </w:t>
      </w:r>
      <w:r w:rsidR="00950003">
        <w:t>Appellant</w:t>
      </w:r>
      <w:r w:rsidR="00815F76">
        <w:t xml:space="preserve">. </w:t>
      </w:r>
      <w:r w:rsidR="00433B78">
        <w:t>Amongst other things, that letter expressly recognised, as part of the alternative case, that the law of Bangla</w:t>
      </w:r>
      <w:r w:rsidR="00CC7556">
        <w:t xml:space="preserve">desh would apply to the claim. </w:t>
      </w:r>
      <w:r w:rsidR="00815F76">
        <w:t>Accordingly, whatever the difficulties may have been before</w:t>
      </w:r>
      <w:r w:rsidR="00CC7556">
        <w:t xml:space="preserve"> January 2019</w:t>
      </w:r>
      <w:r w:rsidR="00815F76">
        <w:t xml:space="preserve"> in terms of </w:t>
      </w:r>
      <w:r w:rsidR="008D375A">
        <w:t>access to justice</w:t>
      </w:r>
      <w:r w:rsidR="00815F76">
        <w:t xml:space="preserve">, it was quite apparent that all the material required for </w:t>
      </w:r>
      <w:r w:rsidR="00EF1EE7">
        <w:t xml:space="preserve">bringing the </w:t>
      </w:r>
      <w:r w:rsidR="008D375A">
        <w:t>claim</w:t>
      </w:r>
      <w:r w:rsidR="00EF1EE7">
        <w:t xml:space="preserve"> had been obtained </w:t>
      </w:r>
      <w:r w:rsidR="008D375A">
        <w:t xml:space="preserve">on behalf of the </w:t>
      </w:r>
      <w:r w:rsidR="00950003">
        <w:t>Respondent</w:t>
      </w:r>
      <w:r w:rsidR="008D375A">
        <w:t xml:space="preserve"> </w:t>
      </w:r>
      <w:r w:rsidR="00EF1EE7">
        <w:t xml:space="preserve">two months before the expiry of the limitation period. </w:t>
      </w:r>
    </w:p>
    <w:p w14:paraId="69DF6F86" w14:textId="13554F27" w:rsidR="00EF3812" w:rsidRDefault="00EF1EE7" w:rsidP="00AB117A">
      <w:pPr>
        <w:pStyle w:val="ParaLevel1"/>
      </w:pPr>
      <w:r>
        <w:t xml:space="preserve">On the face of it, therefore, the case was entirely within the category </w:t>
      </w:r>
      <w:r w:rsidR="00FB0218">
        <w:t xml:space="preserve">of case </w:t>
      </w:r>
      <w:r>
        <w:t>identified in the</w:t>
      </w:r>
      <w:r w:rsidR="007F1EE9">
        <w:rPr>
          <w:i/>
        </w:rPr>
        <w:t xml:space="preserve"> Arab Monetary Fund</w:t>
      </w:r>
      <w:r w:rsidR="007F1EE9">
        <w:t xml:space="preserve"> case, cited by </w:t>
      </w:r>
      <w:proofErr w:type="spellStart"/>
      <w:r w:rsidR="007F1EE9">
        <w:t>Wilkie</w:t>
      </w:r>
      <w:proofErr w:type="spellEnd"/>
      <w:r w:rsidR="007F1EE9">
        <w:t xml:space="preserve"> J in </w:t>
      </w:r>
      <w:proofErr w:type="spellStart"/>
      <w:r w:rsidR="007F1EE9" w:rsidRPr="007F1EE9">
        <w:rPr>
          <w:i/>
        </w:rPr>
        <w:t>K</w:t>
      </w:r>
      <w:r w:rsidR="00FD2558">
        <w:rPr>
          <w:i/>
        </w:rPr>
        <w:t>XL</w:t>
      </w:r>
      <w:proofErr w:type="spellEnd"/>
      <w:r w:rsidR="007F1EE9">
        <w:t>.</w:t>
      </w:r>
      <w:r w:rsidR="00C11EE6">
        <w:t xml:space="preserve"> </w:t>
      </w:r>
      <w:r w:rsidR="00F401A1">
        <w:t>T</w:t>
      </w:r>
      <w:r w:rsidR="00C11EE6">
        <w:t>hat was clearly the judge’s view</w:t>
      </w:r>
      <w:r w:rsidR="00F12C27">
        <w:t>,</w:t>
      </w:r>
      <w:r w:rsidR="00C11EE6">
        <w:t xml:space="preserve"> because he found that the pre-action correspon</w:t>
      </w:r>
      <w:r w:rsidR="000C01E8">
        <w:t>d</w:t>
      </w:r>
      <w:r w:rsidR="009759DC">
        <w:t>en</w:t>
      </w:r>
      <w:r w:rsidR="00F12C27">
        <w:t>ce</w:t>
      </w:r>
      <w:r w:rsidR="009759DC">
        <w:t xml:space="preserve"> </w:t>
      </w:r>
      <w:r w:rsidR="009472BC">
        <w:t xml:space="preserve">(namely the detailed letter of claim) </w:t>
      </w:r>
      <w:r w:rsidR="00B87569">
        <w:t>demonstrated that the complaint about access to justice was in</w:t>
      </w:r>
      <w:r w:rsidR="004B691E">
        <w:t>applicable</w:t>
      </w:r>
      <w:r w:rsidR="000C01E8">
        <w:t xml:space="preserve">. </w:t>
      </w:r>
    </w:p>
    <w:p w14:paraId="02CE6BEF" w14:textId="7D08E45B" w:rsidR="000C01E8" w:rsidRDefault="000C01E8" w:rsidP="00AB117A">
      <w:pPr>
        <w:pStyle w:val="ParaLevel1"/>
      </w:pPr>
      <w:r>
        <w:t xml:space="preserve">On appeal, </w:t>
      </w:r>
      <w:r w:rsidR="009F755D">
        <w:t>an</w:t>
      </w:r>
      <w:r w:rsidR="00A21327">
        <w:t xml:space="preserve"> argument was raised for the first time that the Leigh Day letter of claim wrongly identified the accident date </w:t>
      </w:r>
      <w:r w:rsidR="00A97894">
        <w:t>as</w:t>
      </w:r>
      <w:r w:rsidR="00A21327">
        <w:t xml:space="preserve"> 24 April </w:t>
      </w:r>
      <w:r w:rsidR="00423958">
        <w:t xml:space="preserve">rather than 30 March 2018 </w:t>
      </w:r>
      <w:r w:rsidR="00A21327">
        <w:t>and that th</w:t>
      </w:r>
      <w:r w:rsidR="00F71DE0">
        <w:t>is</w:t>
      </w:r>
      <w:r w:rsidR="00A21327">
        <w:t xml:space="preserve"> error was also reflected in the claim form. The claim form was issued within a year of that </w:t>
      </w:r>
      <w:r w:rsidR="00C715D6">
        <w:t xml:space="preserve">(incorrect) </w:t>
      </w:r>
      <w:r w:rsidR="00A21327">
        <w:t>date. The suggestion</w:t>
      </w:r>
      <w:r w:rsidR="009F25F4">
        <w:t xml:space="preserve"> </w:t>
      </w:r>
      <w:r w:rsidR="00A21327">
        <w:t>was</w:t>
      </w:r>
      <w:r w:rsidR="00E55BEF">
        <w:t>, therefore,</w:t>
      </w:r>
      <w:r w:rsidR="00A21327">
        <w:t xml:space="preserve"> that there had a been an error </w:t>
      </w:r>
      <w:r w:rsidR="00E55BEF">
        <w:t>in</w:t>
      </w:r>
      <w:r w:rsidR="00A21327">
        <w:t xml:space="preserve"> the identification of the date </w:t>
      </w:r>
      <w:r w:rsidR="00EB4FD1">
        <w:t>of death and</w:t>
      </w:r>
      <w:r w:rsidR="00A21327">
        <w:t xml:space="preserve"> the </w:t>
      </w:r>
      <w:r w:rsidR="00950003">
        <w:t>Respondent</w:t>
      </w:r>
      <w:r w:rsidR="00A21327">
        <w:t xml:space="preserve"> should not be </w:t>
      </w:r>
      <w:r w:rsidR="00E55BEF">
        <w:t>liable</w:t>
      </w:r>
      <w:r w:rsidR="00A21327">
        <w:t xml:space="preserve"> for the consequences.</w:t>
      </w:r>
    </w:p>
    <w:p w14:paraId="02B8996C" w14:textId="29EBAD85" w:rsidR="00B8302B" w:rsidRDefault="009F25F4" w:rsidP="00AB117A">
      <w:pPr>
        <w:pStyle w:val="ParaLevel1"/>
      </w:pPr>
      <w:r>
        <w:t>A</w:t>
      </w:r>
      <w:r w:rsidR="00A21327">
        <w:t>t the end of the hearing</w:t>
      </w:r>
      <w:r w:rsidR="00E55BEF">
        <w:t>,</w:t>
      </w:r>
      <w:r w:rsidR="00A21327">
        <w:t xml:space="preserve"> this court required Mart</w:t>
      </w:r>
      <w:r w:rsidR="004F7B77">
        <w:t>y</w:t>
      </w:r>
      <w:r w:rsidR="00A21327">
        <w:t xml:space="preserve">n Day, the </w:t>
      </w:r>
      <w:r w:rsidR="00950003">
        <w:t>Respondent</w:t>
      </w:r>
      <w:r w:rsidR="00A21327">
        <w:t>’s solicitor, to provide a witness statement saying when and in what circumstances his firm became aware of the actual date of the deceased</w:t>
      </w:r>
      <w:r w:rsidR="00B8302B">
        <w:t xml:space="preserve">’s death. </w:t>
      </w:r>
      <w:r w:rsidR="00A26360">
        <w:t xml:space="preserve">Mr Day’s statement says that the incorrect date of 24 April 2018 came from a source at the </w:t>
      </w:r>
      <w:r w:rsidR="009E5087">
        <w:t xml:space="preserve">Zuma </w:t>
      </w:r>
      <w:r w:rsidR="000B3A3C">
        <w:t>Y</w:t>
      </w:r>
      <w:r w:rsidR="00A26360">
        <w:t xml:space="preserve">ard and had been confirmed by the </w:t>
      </w:r>
      <w:r w:rsidR="00950003">
        <w:t>Respondent</w:t>
      </w:r>
      <w:r w:rsidR="00A26360">
        <w:t>.</w:t>
      </w:r>
      <w:r w:rsidR="0031177E">
        <w:t xml:space="preserve"> </w:t>
      </w:r>
      <w:r w:rsidR="00C4077A">
        <w:t>He said</w:t>
      </w:r>
      <w:r w:rsidR="00350D71">
        <w:t xml:space="preserve"> </w:t>
      </w:r>
      <w:r w:rsidR="0051270A">
        <w:t>that the error was not spotted by his team until 1 August 2019</w:t>
      </w:r>
      <w:r w:rsidR="004A6027">
        <w:t xml:space="preserve">. </w:t>
      </w:r>
      <w:r w:rsidR="0051270A">
        <w:t xml:space="preserve"> </w:t>
      </w:r>
      <w:r w:rsidR="000B3A3C">
        <w:t xml:space="preserve">However, </w:t>
      </w:r>
      <w:r w:rsidR="006D21FE">
        <w:t xml:space="preserve">Ince </w:t>
      </w:r>
      <w:r w:rsidR="00286B55">
        <w:t xml:space="preserve">Gordon </w:t>
      </w:r>
      <w:proofErr w:type="spellStart"/>
      <w:r w:rsidR="00286B55">
        <w:t>Dadds</w:t>
      </w:r>
      <w:proofErr w:type="spellEnd"/>
      <w:r w:rsidR="00286B55">
        <w:t xml:space="preserve"> </w:t>
      </w:r>
      <w:r w:rsidR="006D21FE">
        <w:t xml:space="preserve">(the </w:t>
      </w:r>
      <w:r w:rsidR="00950003">
        <w:t>Appellant</w:t>
      </w:r>
      <w:r w:rsidR="006D21FE">
        <w:t>’s solicitors) pointed out</w:t>
      </w:r>
      <w:r w:rsidR="004A6027">
        <w:t xml:space="preserve"> in their response of 18 February</w:t>
      </w:r>
      <w:r w:rsidR="000B3A3C">
        <w:t xml:space="preserve"> 20</w:t>
      </w:r>
      <w:r w:rsidR="0029453F">
        <w:t>21</w:t>
      </w:r>
      <w:r w:rsidR="003C003E">
        <w:t xml:space="preserve"> that</w:t>
      </w:r>
      <w:r w:rsidR="0029453F">
        <w:t xml:space="preserve"> - </w:t>
      </w:r>
      <w:r w:rsidR="00350D71">
        <w:t>amongst other things -</w:t>
      </w:r>
      <w:r w:rsidR="0048233B">
        <w:t xml:space="preserve"> </w:t>
      </w:r>
      <w:r w:rsidR="00D637F4">
        <w:t xml:space="preserve">the </w:t>
      </w:r>
      <w:r w:rsidR="003C003E">
        <w:t xml:space="preserve">material provided by Mr Day showed that the </w:t>
      </w:r>
      <w:r w:rsidR="00D637F4">
        <w:t>death certificate</w:t>
      </w:r>
      <w:r w:rsidR="003A03BE">
        <w:t>, which refer</w:t>
      </w:r>
      <w:r w:rsidR="00350D71">
        <w:t>red</w:t>
      </w:r>
      <w:r w:rsidR="003A03BE">
        <w:t xml:space="preserve"> to the correct date of the accident </w:t>
      </w:r>
      <w:r w:rsidR="004F3CDF">
        <w:t>(“3</w:t>
      </w:r>
      <w:r w:rsidR="003A03BE">
        <w:t>0</w:t>
      </w:r>
      <w:r w:rsidR="004F3CDF">
        <w:t>/3/18”)</w:t>
      </w:r>
      <w:r w:rsidR="00622B75">
        <w:t>,</w:t>
      </w:r>
      <w:r w:rsidR="004F3CDF">
        <w:t xml:space="preserve"> </w:t>
      </w:r>
      <w:r w:rsidR="00622B75">
        <w:t>had been</w:t>
      </w:r>
      <w:r w:rsidR="004F3CDF">
        <w:t xml:space="preserve"> provided to </w:t>
      </w:r>
      <w:r w:rsidR="00BE7ECF">
        <w:t>L</w:t>
      </w:r>
      <w:r w:rsidR="004F3CDF">
        <w:t xml:space="preserve">eigh </w:t>
      </w:r>
      <w:r w:rsidR="00BE7ECF">
        <w:t>D</w:t>
      </w:r>
      <w:r w:rsidR="004F3CDF">
        <w:t xml:space="preserve">ay </w:t>
      </w:r>
      <w:r w:rsidR="00BE7ECF">
        <w:t xml:space="preserve">on 18 March 2019, 12 days </w:t>
      </w:r>
      <w:r w:rsidR="00BE7ECF" w:rsidRPr="00622B75">
        <w:rPr>
          <w:i/>
          <w:iCs/>
        </w:rPr>
        <w:t>before</w:t>
      </w:r>
      <w:r w:rsidR="00BE7ECF">
        <w:t xml:space="preserve"> the expiry of the </w:t>
      </w:r>
      <w:r w:rsidR="00610FD6">
        <w:t>one</w:t>
      </w:r>
      <w:r w:rsidR="00286B55">
        <w:t>-</w:t>
      </w:r>
      <w:r w:rsidR="00610FD6">
        <w:t xml:space="preserve">year </w:t>
      </w:r>
      <w:r w:rsidR="00BE7ECF">
        <w:t>limitation period</w:t>
      </w:r>
      <w:r w:rsidR="00350D71">
        <w:t>.</w:t>
      </w:r>
      <w:r w:rsidR="00251C50">
        <w:t xml:space="preserve"> Mr Day did not suggest that his firm was unaware of the one</w:t>
      </w:r>
      <w:r w:rsidR="00286B55">
        <w:t>-</w:t>
      </w:r>
      <w:r w:rsidR="00251C50">
        <w:t xml:space="preserve">year </w:t>
      </w:r>
      <w:r w:rsidR="00B22F19">
        <w:t>limit under Bangladeshi law. The only reason the claim form was not issued in time was because of the error about the date of death.</w:t>
      </w:r>
    </w:p>
    <w:p w14:paraId="1FBF2869" w14:textId="63E50B52" w:rsidR="000706E9" w:rsidRDefault="0061053A" w:rsidP="00AB117A">
      <w:pPr>
        <w:pStyle w:val="ParaLevel1"/>
      </w:pPr>
      <w:r>
        <w:t xml:space="preserve">On the basis of this </w:t>
      </w:r>
      <w:r w:rsidR="008418E6">
        <w:t>material</w:t>
      </w:r>
      <w:r>
        <w:t>, non</w:t>
      </w:r>
      <w:r w:rsidR="000547A4">
        <w:t>e</w:t>
      </w:r>
      <w:r>
        <w:t xml:space="preserve"> of which was available to the judge, it seems to me that there is a</w:t>
      </w:r>
      <w:r w:rsidR="0069501E">
        <w:t xml:space="preserve"> short, sharp</w:t>
      </w:r>
      <w:r>
        <w:t xml:space="preserve"> issue </w:t>
      </w:r>
      <w:r w:rsidR="008418E6">
        <w:t xml:space="preserve">between the parties </w:t>
      </w:r>
      <w:r>
        <w:t xml:space="preserve">as to </w:t>
      </w:r>
      <w:r w:rsidR="00407F7E">
        <w:t xml:space="preserve">the </w:t>
      </w:r>
      <w:r w:rsidR="00471FE0">
        <w:t>undue hardship</w:t>
      </w:r>
      <w:r w:rsidR="0069501E">
        <w:t xml:space="preserve"> </w:t>
      </w:r>
      <w:r w:rsidR="00407F7E">
        <w:t xml:space="preserve">exception, </w:t>
      </w:r>
      <w:r w:rsidR="0069501E">
        <w:t>and whether it can be invoked in this case</w:t>
      </w:r>
      <w:r w:rsidR="00471FE0">
        <w:t xml:space="preserve">. It is a </w:t>
      </w:r>
      <w:r w:rsidR="008418E6">
        <w:t xml:space="preserve">very </w:t>
      </w:r>
      <w:r w:rsidR="00471FE0">
        <w:t>limited issue, relating only</w:t>
      </w:r>
      <w:r w:rsidR="00E132E5">
        <w:t xml:space="preserve"> </w:t>
      </w:r>
      <w:r w:rsidR="00610FD6">
        <w:t xml:space="preserve">to </w:t>
      </w:r>
      <w:r w:rsidR="00E132E5">
        <w:t xml:space="preserve">the documents </w:t>
      </w:r>
      <w:r w:rsidR="00B57680">
        <w:t xml:space="preserve">and other information </w:t>
      </w:r>
      <w:r w:rsidR="0018150E">
        <w:t xml:space="preserve">that was </w:t>
      </w:r>
      <w:r w:rsidR="00E132E5">
        <w:t>available to Leigh Day</w:t>
      </w:r>
      <w:r w:rsidR="00B57680">
        <w:t xml:space="preserve"> </w:t>
      </w:r>
      <w:r w:rsidR="00240187">
        <w:t xml:space="preserve">about the date of the accident </w:t>
      </w:r>
      <w:r w:rsidR="00EE7F30">
        <w:t xml:space="preserve">between 22 January 2019 (the </w:t>
      </w:r>
      <w:r w:rsidR="003F1D9C">
        <w:t xml:space="preserve">date of the </w:t>
      </w:r>
      <w:r w:rsidR="00EE7F30">
        <w:t xml:space="preserve">letter of claim) and </w:t>
      </w:r>
      <w:r w:rsidR="007B6762">
        <w:t>the expiry of the limitation period</w:t>
      </w:r>
      <w:r w:rsidR="0018150E">
        <w:t xml:space="preserve">. The period prior to the letter of claim </w:t>
      </w:r>
      <w:r w:rsidR="00AF6094">
        <w:t xml:space="preserve">on 22 January 2019 </w:t>
      </w:r>
      <w:r w:rsidR="0018150E">
        <w:t>is irrelevant for this purpose</w:t>
      </w:r>
      <w:r w:rsidR="00FB627E">
        <w:t>, for the reasons given by the judge</w:t>
      </w:r>
      <w:r w:rsidR="006A4031">
        <w:t xml:space="preserve">, </w:t>
      </w:r>
      <w:r w:rsidR="007B6762">
        <w:t xml:space="preserve">and </w:t>
      </w:r>
      <w:r w:rsidR="00FB627E">
        <w:t>which I have endorsed above</w:t>
      </w:r>
      <w:r w:rsidR="000E2B7B">
        <w:t>. Th</w:t>
      </w:r>
      <w:r w:rsidR="007B6762">
        <w:t>is</w:t>
      </w:r>
      <w:r w:rsidR="00FB627E">
        <w:t xml:space="preserve"> </w:t>
      </w:r>
      <w:r w:rsidR="000656BC">
        <w:t>limited</w:t>
      </w:r>
      <w:r w:rsidR="00FB627E">
        <w:t xml:space="preserve"> issue</w:t>
      </w:r>
      <w:r w:rsidR="000E2B7B">
        <w:t xml:space="preserve"> ought to be capable of swift resolution </w:t>
      </w:r>
      <w:r w:rsidR="00415E77">
        <w:t xml:space="preserve">at a preliminary issue hearing. </w:t>
      </w:r>
    </w:p>
    <w:p w14:paraId="7A27997D" w14:textId="07842ECF" w:rsidR="00544181" w:rsidRDefault="00862CB2" w:rsidP="00AB117A">
      <w:pPr>
        <w:pStyle w:val="ParaLevel1"/>
      </w:pPr>
      <w:r>
        <w:lastRenderedPageBreak/>
        <w:t xml:space="preserve">As I have indicated, although this is something of an indulgence </w:t>
      </w:r>
      <w:r w:rsidR="00B25DF9">
        <w:t>to</w:t>
      </w:r>
      <w:r>
        <w:t xml:space="preserve"> the </w:t>
      </w:r>
      <w:r w:rsidR="00950003">
        <w:t>Respondent</w:t>
      </w:r>
      <w:r w:rsidR="00B25DF9">
        <w:t xml:space="preserve"> (because it is a new point on which they need to succeed in order to keep this claim</w:t>
      </w:r>
      <w:r w:rsidR="00185B2C">
        <w:t xml:space="preserve"> from being struck out)</w:t>
      </w:r>
      <w:r w:rsidR="00BC2C6F">
        <w:t>, I am confident that it is a just course.</w:t>
      </w:r>
      <w:r w:rsidR="00B20295">
        <w:t xml:space="preserve"> </w:t>
      </w:r>
      <w:r w:rsidR="00436376">
        <w:t xml:space="preserve">The </w:t>
      </w:r>
      <w:r w:rsidR="0069673F">
        <w:t>issue</w:t>
      </w:r>
      <w:r w:rsidR="00436376">
        <w:t xml:space="preserve"> that has now arisen was never even mentioned to the judge. </w:t>
      </w:r>
      <w:r w:rsidR="00B20295">
        <w:t>I am entirely satisfied</w:t>
      </w:r>
      <w:r w:rsidR="000D3607">
        <w:t xml:space="preserve"> </w:t>
      </w:r>
      <w:r w:rsidR="00B20295">
        <w:t>that,</w:t>
      </w:r>
      <w:r w:rsidR="000D3607">
        <w:t xml:space="preserve"> if the judge had had the </w:t>
      </w:r>
      <w:r w:rsidR="002044EC">
        <w:t>material</w:t>
      </w:r>
      <w:r w:rsidR="000D3607">
        <w:t xml:space="preserve"> which is now available to this court, he would have concluded that a preliminary issue </w:t>
      </w:r>
      <w:r w:rsidR="005932E3">
        <w:t xml:space="preserve">on the </w:t>
      </w:r>
      <w:r w:rsidR="002044EC">
        <w:t>issue</w:t>
      </w:r>
      <w:r w:rsidR="005932E3">
        <w:t xml:space="preserve"> of undue hardship was appropriate.</w:t>
      </w:r>
    </w:p>
    <w:p w14:paraId="09528993" w14:textId="0D4F4D09" w:rsidR="000706E9" w:rsidRPr="006A4031" w:rsidRDefault="00544181" w:rsidP="00AB117A">
      <w:pPr>
        <w:pStyle w:val="ParaLevel1"/>
        <w:numPr>
          <w:ilvl w:val="0"/>
          <w:numId w:val="0"/>
        </w:numPr>
        <w:ind w:left="720" w:hanging="720"/>
        <w:rPr>
          <w:b/>
        </w:rPr>
      </w:pPr>
      <w:r w:rsidRPr="006A4031">
        <w:rPr>
          <w:b/>
        </w:rPr>
        <w:t>Public Policy</w:t>
      </w:r>
    </w:p>
    <w:p w14:paraId="0185F8DB" w14:textId="5FF24A9C" w:rsidR="00D061F3" w:rsidRDefault="00544181" w:rsidP="00AB117A">
      <w:pPr>
        <w:pStyle w:val="ParaLevel1"/>
      </w:pPr>
      <w:r>
        <w:t xml:space="preserve">Mr </w:t>
      </w:r>
      <w:proofErr w:type="spellStart"/>
      <w:r>
        <w:t>Hermer</w:t>
      </w:r>
      <w:proofErr w:type="spellEnd"/>
      <w:r>
        <w:t xml:space="preserve"> suggested that considerations of public policy also militated against the imposition of the one</w:t>
      </w:r>
      <w:r w:rsidR="00286B55">
        <w:t>-</w:t>
      </w:r>
      <w:r>
        <w:t xml:space="preserve">year limitation period. </w:t>
      </w:r>
      <w:r w:rsidR="00B945D4">
        <w:t xml:space="preserve">That argument found favour with the judge, at least to the extent of being hived off to </w:t>
      </w:r>
      <w:r w:rsidR="00300B8A">
        <w:t xml:space="preserve">be dealt with at </w:t>
      </w:r>
      <w:r w:rsidR="00B945D4">
        <w:t>a preliminary issue.</w:t>
      </w:r>
      <w:r w:rsidR="002044EC">
        <w:t xml:space="preserve"> However, for the reasons set out below, I disagree with that conclusion.</w:t>
      </w:r>
      <w:r w:rsidR="00787C1D">
        <w:t xml:space="preserve"> I am in no doubt that, if the matter had been properly argued before him, the judge would have dismissed the </w:t>
      </w:r>
      <w:r w:rsidR="0064744D">
        <w:t>argument based on public policy.</w:t>
      </w:r>
    </w:p>
    <w:p w14:paraId="3354A53D" w14:textId="4BE5D5F1" w:rsidR="000706E9" w:rsidRDefault="00D061F3" w:rsidP="00AB117A">
      <w:pPr>
        <w:pStyle w:val="ParaLevel1"/>
      </w:pPr>
      <w:r>
        <w:t xml:space="preserve">Mr </w:t>
      </w:r>
      <w:proofErr w:type="spellStart"/>
      <w:r>
        <w:t>Hermer</w:t>
      </w:r>
      <w:r w:rsidR="006C17F3">
        <w:t>’s</w:t>
      </w:r>
      <w:proofErr w:type="spellEnd"/>
      <w:r w:rsidR="006C17F3">
        <w:t xml:space="preserve"> first submission was</w:t>
      </w:r>
      <w:r w:rsidR="009C5C77">
        <w:t xml:space="preserve"> that there may be </w:t>
      </w:r>
      <w:r w:rsidR="00544181">
        <w:t>f</w:t>
      </w:r>
      <w:r w:rsidR="009C5C77">
        <w:t xml:space="preserve">urther evidence </w:t>
      </w:r>
      <w:r w:rsidR="006C17F3">
        <w:t>on</w:t>
      </w:r>
      <w:r w:rsidR="009C5C77">
        <w:t xml:space="preserve"> disclosure</w:t>
      </w:r>
      <w:r w:rsidR="0087710C">
        <w:t xml:space="preserve"> relevant to th</w:t>
      </w:r>
      <w:r w:rsidR="0064744D">
        <w:t>e</w:t>
      </w:r>
      <w:r w:rsidR="0087710C">
        <w:t xml:space="preserve"> issue</w:t>
      </w:r>
      <w:r w:rsidR="0064744D">
        <w:t xml:space="preserve"> of public policy</w:t>
      </w:r>
      <w:r w:rsidR="009C5C77">
        <w:t>. In particular, he said that d</w:t>
      </w:r>
      <w:r w:rsidR="00684B08">
        <w:t>isclosure might</w:t>
      </w:r>
      <w:r w:rsidR="009C5C77">
        <w:t xml:space="preserve"> be material if the</w:t>
      </w:r>
      <w:r w:rsidR="00684B08">
        <w:t xml:space="preserve"> documents</w:t>
      </w:r>
      <w:r w:rsidR="009C5C77">
        <w:t xml:space="preserve"> showed that one of the reasons why th</w:t>
      </w:r>
      <w:r w:rsidR="00E7234E">
        <w:t>e</w:t>
      </w:r>
      <w:r w:rsidR="009C5C77">
        <w:t xml:space="preserve"> sale </w:t>
      </w:r>
      <w:r w:rsidR="00E7234E">
        <w:t xml:space="preserve">of the vessel </w:t>
      </w:r>
      <w:r w:rsidR="009C5C77">
        <w:t xml:space="preserve">happened </w:t>
      </w:r>
      <w:r w:rsidR="00E7234E">
        <w:t xml:space="preserve">at all </w:t>
      </w:r>
      <w:r w:rsidR="009C5C77">
        <w:t xml:space="preserve">was because the </w:t>
      </w:r>
      <w:r w:rsidR="00950003">
        <w:t>Appellant</w:t>
      </w:r>
      <w:r w:rsidR="009C5C77">
        <w:t xml:space="preserve"> was aware that </w:t>
      </w:r>
      <w:r w:rsidR="005770BF">
        <w:t xml:space="preserve">the short limitation period in Bangladesh made it most unlikely that </w:t>
      </w:r>
      <w:r w:rsidR="0072492F">
        <w:t>it</w:t>
      </w:r>
      <w:r w:rsidR="005770BF">
        <w:t xml:space="preserve"> would </w:t>
      </w:r>
      <w:r w:rsidR="0072492F">
        <w:t>have to pay</w:t>
      </w:r>
      <w:r w:rsidR="005770BF">
        <w:t xml:space="preserve"> any ultimate legal price for the decision to sell to </w:t>
      </w:r>
      <w:proofErr w:type="spellStart"/>
      <w:r w:rsidR="005770BF">
        <w:t>Hsejar</w:t>
      </w:r>
      <w:proofErr w:type="spellEnd"/>
      <w:r w:rsidR="005770BF">
        <w:t>.</w:t>
      </w:r>
    </w:p>
    <w:p w14:paraId="6317A53A" w14:textId="59D8EFE4" w:rsidR="00B22421" w:rsidRDefault="00DF2D4E" w:rsidP="00AB117A">
      <w:pPr>
        <w:pStyle w:val="ParaLevel1"/>
      </w:pPr>
      <w:r>
        <w:t xml:space="preserve">That is both </w:t>
      </w:r>
      <w:r w:rsidR="00BB0CA5">
        <w:t>fanciful and irrelevant. It is fanciful because</w:t>
      </w:r>
      <w:r w:rsidR="00BE1E1D">
        <w:t xml:space="preserve">, as I have already explained, </w:t>
      </w:r>
      <w:r w:rsidR="00BB0CA5">
        <w:t xml:space="preserve"> the </w:t>
      </w:r>
      <w:r w:rsidR="00950003">
        <w:t>Appellant</w:t>
      </w:r>
      <w:r w:rsidR="00BB0CA5">
        <w:t xml:space="preserve"> always knew</w:t>
      </w:r>
      <w:r w:rsidR="003E73ED">
        <w:t xml:space="preserve"> that t</w:t>
      </w:r>
      <w:r w:rsidR="00CB3E3A">
        <w:t>here w</w:t>
      </w:r>
      <w:r w:rsidR="003F2E8D">
        <w:t>ould be</w:t>
      </w:r>
      <w:r w:rsidR="00CB3E3A">
        <w:t xml:space="preserve"> no ultimate legal price to pay</w:t>
      </w:r>
      <w:r w:rsidR="00C2018A">
        <w:t>,</w:t>
      </w:r>
      <w:r w:rsidR="00CB3E3A">
        <w:t xml:space="preserve"> because of the </w:t>
      </w:r>
      <w:r w:rsidR="002D7141">
        <w:t>tooth lessness</w:t>
      </w:r>
      <w:r w:rsidR="003E73ED">
        <w:t xml:space="preserve"> of clause 22. </w:t>
      </w:r>
      <w:r w:rsidR="00B376F3">
        <w:t>And</w:t>
      </w:r>
      <w:r w:rsidR="003E73ED">
        <w:t xml:space="preserve"> </w:t>
      </w:r>
      <w:r w:rsidR="00872067">
        <w:t xml:space="preserve">it is irrelevant </w:t>
      </w:r>
      <w:r w:rsidR="004E7B97">
        <w:t xml:space="preserve">because </w:t>
      </w:r>
      <w:r w:rsidR="00B22421">
        <w:t xml:space="preserve">such documents, even if they existed, would be of </w:t>
      </w:r>
      <w:r w:rsidR="004E7B97">
        <w:t>no</w:t>
      </w:r>
      <w:r w:rsidR="00B22421">
        <w:t xml:space="preserve"> relevance </w:t>
      </w:r>
      <w:r w:rsidR="004E7B97">
        <w:t>to</w:t>
      </w:r>
      <w:r w:rsidR="00B22421">
        <w:t xml:space="preserve"> the Section 2(1) / public policy test. Section 2(1)</w:t>
      </w:r>
      <w:r w:rsidR="00D22B0D">
        <w:t xml:space="preserve"> is concerned with wider principles, not the particular facts of any given case.</w:t>
      </w:r>
      <w:r w:rsidR="00475395">
        <w:t xml:space="preserve"> </w:t>
      </w:r>
      <w:r w:rsidR="004E7B97">
        <w:t>I</w:t>
      </w:r>
      <w:r w:rsidR="00DB38A1">
        <w:t>t is impossible to see how</w:t>
      </w:r>
      <w:r w:rsidR="004E7B97">
        <w:t xml:space="preserve"> in principle</w:t>
      </w:r>
      <w:r w:rsidR="00DB38A1">
        <w:t xml:space="preserve">, even if </w:t>
      </w:r>
      <w:r w:rsidR="00407D9E">
        <w:t xml:space="preserve">the short limitation period in Bangladesh had been a factor in the sale, that could give rise to any sort of public policy argument. </w:t>
      </w:r>
    </w:p>
    <w:p w14:paraId="31ECB064" w14:textId="04846378" w:rsidR="00CD05F1" w:rsidRDefault="00D061F3" w:rsidP="00AB117A">
      <w:pPr>
        <w:pStyle w:val="ParaLevel1"/>
      </w:pPr>
      <w:r>
        <w:t>As</w:t>
      </w:r>
      <w:r w:rsidR="00D22B0D">
        <w:t xml:space="preserve"> </w:t>
      </w:r>
      <w:proofErr w:type="spellStart"/>
      <w:r w:rsidR="00D22B0D">
        <w:t>Wilkie</w:t>
      </w:r>
      <w:proofErr w:type="spellEnd"/>
      <w:r w:rsidR="00D22B0D">
        <w:t xml:space="preserve"> J noted in </w:t>
      </w:r>
      <w:proofErr w:type="spellStart"/>
      <w:r w:rsidR="00D22B0D" w:rsidRPr="00E25088">
        <w:rPr>
          <w:i/>
        </w:rPr>
        <w:t>KXL</w:t>
      </w:r>
      <w:proofErr w:type="spellEnd"/>
      <w:r w:rsidR="00D22B0D">
        <w:t xml:space="preserve">, public policy should be </w:t>
      </w:r>
      <w:r w:rsidR="00F16B26">
        <w:t>i</w:t>
      </w:r>
      <w:r w:rsidR="00D22B0D">
        <w:t xml:space="preserve">nvoked for the purposes of </w:t>
      </w:r>
      <w:r w:rsidR="00F16B26">
        <w:t xml:space="preserve">disapplying a </w:t>
      </w:r>
      <w:r w:rsidR="001861A6">
        <w:t>f</w:t>
      </w:r>
      <w:r w:rsidR="00F16B26">
        <w:t xml:space="preserve">oreign </w:t>
      </w:r>
      <w:r w:rsidR="001861A6">
        <w:t>l</w:t>
      </w:r>
      <w:r w:rsidR="00F16B26">
        <w:t xml:space="preserve">imitation </w:t>
      </w:r>
      <w:r w:rsidR="001861A6">
        <w:t>p</w:t>
      </w:r>
      <w:r w:rsidR="00F16B26">
        <w:t>eriod only in exceptional circumstances.</w:t>
      </w:r>
      <w:r w:rsidR="009677AC">
        <w:t xml:space="preserve"> That could only be where the </w:t>
      </w:r>
      <w:r w:rsidR="001861A6">
        <w:t>f</w:t>
      </w:r>
      <w:r w:rsidR="009677AC">
        <w:t xml:space="preserve">oreign </w:t>
      </w:r>
      <w:r w:rsidR="001861A6">
        <w:t>l</w:t>
      </w:r>
      <w:r w:rsidR="009677AC">
        <w:t xml:space="preserve">imitation </w:t>
      </w:r>
      <w:r w:rsidR="001861A6">
        <w:t>p</w:t>
      </w:r>
      <w:r w:rsidR="009677AC">
        <w:t xml:space="preserve">eriod was contrary to a fundamental principle of justice. </w:t>
      </w:r>
      <w:r w:rsidR="00E13FD9">
        <w:t>Th</w:t>
      </w:r>
      <w:r>
        <w:t>at</w:t>
      </w:r>
      <w:r w:rsidR="00E13FD9">
        <w:t xml:space="preserve"> is, deliberately, set as a very high bar. </w:t>
      </w:r>
      <w:r w:rsidR="00CD05F1">
        <w:t>Mr Bright rightly dr</w:t>
      </w:r>
      <w:r w:rsidR="00EB218B">
        <w:t xml:space="preserve">ew attention to the words of Article 26, which </w:t>
      </w:r>
      <w:r w:rsidR="0085269B">
        <w:t xml:space="preserve">said it “only” applied if the foreign limitation period was </w:t>
      </w:r>
      <w:r w:rsidR="00C34FB7">
        <w:t xml:space="preserve">“manifestly incompatible” </w:t>
      </w:r>
      <w:r w:rsidR="001B01E7">
        <w:t>with public policy.</w:t>
      </w:r>
    </w:p>
    <w:p w14:paraId="7A353F28" w14:textId="2792B83A" w:rsidR="009677AC" w:rsidRDefault="00E13FD9" w:rsidP="00AB117A">
      <w:pPr>
        <w:pStyle w:val="ParaLevel1"/>
      </w:pPr>
      <w:r>
        <w:t xml:space="preserve">Nothing </w:t>
      </w:r>
      <w:r w:rsidR="006F0D61">
        <w:t xml:space="preserve">here </w:t>
      </w:r>
      <w:r>
        <w:t xml:space="preserve">suggests that the </w:t>
      </w:r>
      <w:r w:rsidR="00950003">
        <w:t>Respondent</w:t>
      </w:r>
      <w:r>
        <w:t xml:space="preserve"> has come anywhere close to meeting </w:t>
      </w:r>
      <w:r w:rsidR="004C0038">
        <w:t>this high</w:t>
      </w:r>
      <w:r w:rsidR="003D7222">
        <w:t xml:space="preserve"> hurdle</w:t>
      </w:r>
      <w:r>
        <w:t xml:space="preserve">. The argument that it is manifestly less generous than the English </w:t>
      </w:r>
      <w:r w:rsidR="001861A6">
        <w:t>l</w:t>
      </w:r>
      <w:r>
        <w:t xml:space="preserve">imitation </w:t>
      </w:r>
      <w:r w:rsidR="001861A6">
        <w:t>p</w:t>
      </w:r>
      <w:r>
        <w:t xml:space="preserve">eriod is nothing to the point: as </w:t>
      </w:r>
      <w:r w:rsidR="00503904">
        <w:t>Sir Thomas</w:t>
      </w:r>
      <w:r>
        <w:t xml:space="preserve"> Bingham </w:t>
      </w:r>
      <w:r w:rsidR="00D1149F">
        <w:t xml:space="preserve">MR </w:t>
      </w:r>
      <w:r>
        <w:t xml:space="preserve">noted in </w:t>
      </w:r>
      <w:r w:rsidRPr="00D061F3">
        <w:rPr>
          <w:i/>
        </w:rPr>
        <w:t>Durham v T &amp; N PLC</w:t>
      </w:r>
      <w:r w:rsidR="00842C54">
        <w:rPr>
          <w:i/>
        </w:rPr>
        <w:t xml:space="preserve"> </w:t>
      </w:r>
      <w:r w:rsidR="0085253F" w:rsidRPr="0085253F">
        <w:rPr>
          <w:iCs/>
        </w:rPr>
        <w:t>(1 May 1996, CA</w:t>
      </w:r>
      <w:r w:rsidR="0085253F">
        <w:rPr>
          <w:iCs/>
        </w:rPr>
        <w:t>, unreported</w:t>
      </w:r>
      <w:r w:rsidR="0085253F" w:rsidRPr="0085253F">
        <w:rPr>
          <w:iCs/>
        </w:rPr>
        <w:t>)</w:t>
      </w:r>
      <w:r w:rsidR="0085253F">
        <w:rPr>
          <w:iCs/>
        </w:rPr>
        <w:t xml:space="preserve">, </w:t>
      </w:r>
      <w:r>
        <w:t xml:space="preserve">it would be wrong to treat a </w:t>
      </w:r>
      <w:r w:rsidR="001861A6">
        <w:t>f</w:t>
      </w:r>
      <w:r>
        <w:t xml:space="preserve">oreign </w:t>
      </w:r>
      <w:r w:rsidR="001861A6">
        <w:t>l</w:t>
      </w:r>
      <w:r>
        <w:t xml:space="preserve">imitation </w:t>
      </w:r>
      <w:r w:rsidR="001861A6">
        <w:t>p</w:t>
      </w:r>
      <w:r>
        <w:t>eriod as contrary to English public policy simply because it was less generous than the comparable English provision.</w:t>
      </w:r>
      <w:r w:rsidR="00D31F31">
        <w:t xml:space="preserve"> </w:t>
      </w:r>
      <w:r w:rsidR="001E4919">
        <w:t xml:space="preserve">And, on analysis, </w:t>
      </w:r>
      <w:r w:rsidR="00D31F31">
        <w:t xml:space="preserve">that is the only point </w:t>
      </w:r>
      <w:r w:rsidR="001E4919">
        <w:t xml:space="preserve">that the </w:t>
      </w:r>
      <w:r w:rsidR="00950003">
        <w:t>Respondent</w:t>
      </w:r>
      <w:r w:rsidR="001E4919">
        <w:t xml:space="preserve"> can make on public policy.</w:t>
      </w:r>
    </w:p>
    <w:p w14:paraId="488E12EB" w14:textId="4683DF94" w:rsidR="00E13FD9" w:rsidRDefault="005932E3" w:rsidP="00AB117A">
      <w:pPr>
        <w:pStyle w:val="ParaLevel1"/>
      </w:pPr>
      <w:r>
        <w:t xml:space="preserve">Accordingly, whilst </w:t>
      </w:r>
      <w:r w:rsidR="00D061F3">
        <w:t>I</w:t>
      </w:r>
      <w:r>
        <w:t xml:space="preserve"> consider that the new evidence about the incorrect date of the accident justifies a </w:t>
      </w:r>
      <w:r w:rsidR="00BA7384">
        <w:t xml:space="preserve">short preliminary issue </w:t>
      </w:r>
      <w:r w:rsidR="00CB0FEB">
        <w:t xml:space="preserve">hearing on the “undue hardship” test, I do not consider that the same is necessary </w:t>
      </w:r>
      <w:r w:rsidR="00BA7384">
        <w:t xml:space="preserve">or appropriate </w:t>
      </w:r>
      <w:r w:rsidR="009852AE">
        <w:t>in respect of</w:t>
      </w:r>
      <w:r w:rsidR="00CB0FEB">
        <w:t xml:space="preserve"> the policy issue.</w:t>
      </w:r>
      <w:r w:rsidR="00283C35">
        <w:t xml:space="preserve"> </w:t>
      </w:r>
      <w:r w:rsidR="009852AE">
        <w:t>On the contrary, i</w:t>
      </w:r>
      <w:r w:rsidR="00BA7384">
        <w:t>n the present case, t</w:t>
      </w:r>
      <w:r w:rsidR="00283C35">
        <w:t>here is no basis</w:t>
      </w:r>
      <w:r w:rsidR="00BA7384">
        <w:t>,</w:t>
      </w:r>
      <w:r w:rsidR="00283C35">
        <w:t xml:space="preserve"> other than </w:t>
      </w:r>
      <w:r w:rsidR="009C3564">
        <w:t xml:space="preserve">possibly </w:t>
      </w:r>
      <w:r w:rsidR="00283C35">
        <w:t>undue hardship</w:t>
      </w:r>
      <w:r w:rsidR="00BA7384">
        <w:t>,</w:t>
      </w:r>
      <w:r w:rsidR="00283C35">
        <w:t xml:space="preserve"> for the one</w:t>
      </w:r>
      <w:r w:rsidR="00286B55">
        <w:t>-</w:t>
      </w:r>
      <w:r w:rsidR="00283C35">
        <w:t>year limitation period to be disapplied.</w:t>
      </w:r>
    </w:p>
    <w:p w14:paraId="39DDA977" w14:textId="374A98C7" w:rsidR="00A67F29" w:rsidRPr="00A67F29" w:rsidRDefault="00A67F29" w:rsidP="00AB117A">
      <w:pPr>
        <w:pStyle w:val="ParaLevel1"/>
        <w:numPr>
          <w:ilvl w:val="0"/>
          <w:numId w:val="0"/>
        </w:numPr>
        <w:rPr>
          <w:b/>
          <w:u w:val="single"/>
        </w:rPr>
      </w:pPr>
      <w:r w:rsidRPr="00A67F29">
        <w:rPr>
          <w:b/>
          <w:u w:val="single"/>
        </w:rPr>
        <w:lastRenderedPageBreak/>
        <w:t>11 CONCLUSIONS</w:t>
      </w:r>
    </w:p>
    <w:p w14:paraId="356B9CD4" w14:textId="4CB36928" w:rsidR="00544181" w:rsidRDefault="00F13732" w:rsidP="00AB117A">
      <w:pPr>
        <w:pStyle w:val="ParaLevel1"/>
      </w:pPr>
      <w:r>
        <w:t>For the reasons set out in Sections 6 and 7 above</w:t>
      </w:r>
      <w:r w:rsidR="00B06026">
        <w:t>,</w:t>
      </w:r>
      <w:r>
        <w:t xml:space="preserve"> I consider that the duty of care </w:t>
      </w:r>
      <w:r w:rsidR="00B06026">
        <w:t xml:space="preserve">alleged </w:t>
      </w:r>
      <w:r>
        <w:t>in this ca</w:t>
      </w:r>
      <w:r w:rsidR="00544181">
        <w:t>s</w:t>
      </w:r>
      <w:r>
        <w:t xml:space="preserve">e, although </w:t>
      </w:r>
      <w:r w:rsidR="00544181">
        <w:t>f</w:t>
      </w:r>
      <w:r>
        <w:t>ace</w:t>
      </w:r>
      <w:r w:rsidR="00544181">
        <w:t>d</w:t>
      </w:r>
      <w:r>
        <w:t xml:space="preserve"> with formidable hurdles, c</w:t>
      </w:r>
      <w:r w:rsidR="00B06026">
        <w:t>annot be dismissed as</w:t>
      </w:r>
      <w:r>
        <w:t xml:space="preserve"> </w:t>
      </w:r>
      <w:r w:rsidR="00F420D3">
        <w:t>fanciful</w:t>
      </w:r>
      <w:r>
        <w:t>.</w:t>
      </w:r>
      <w:r w:rsidR="00130924">
        <w:t xml:space="preserve"> </w:t>
      </w:r>
      <w:r w:rsidR="009C3564">
        <w:t xml:space="preserve">It survives the </w:t>
      </w:r>
      <w:r w:rsidR="00E94F87">
        <w:t xml:space="preserve">CPR </w:t>
      </w:r>
      <w:r w:rsidR="009C3564">
        <w:t>r.3.4/</w:t>
      </w:r>
      <w:r w:rsidR="003907B0">
        <w:t xml:space="preserve">r.24.2 test. </w:t>
      </w:r>
      <w:r w:rsidR="00130924">
        <w:t>And to the extent that it is close to the borderline, I consider that</w:t>
      </w:r>
      <w:r w:rsidR="00F420D3">
        <w:t>,</w:t>
      </w:r>
      <w:r w:rsidR="00130924">
        <w:t xml:space="preserve"> because it is a</w:t>
      </w:r>
      <w:r w:rsidR="003A68B4">
        <w:t>n unusual</w:t>
      </w:r>
      <w:r w:rsidR="00130924">
        <w:t xml:space="preserve"> argument in a rap</w:t>
      </w:r>
      <w:r w:rsidR="00554920">
        <w:t>id</w:t>
      </w:r>
      <w:r w:rsidR="00130924">
        <w:t>ly-develop</w:t>
      </w:r>
      <w:r w:rsidR="00554920">
        <w:t xml:space="preserve">ing </w:t>
      </w:r>
      <w:r w:rsidR="00F420D3">
        <w:t>area of law</w:t>
      </w:r>
      <w:r w:rsidR="00554920">
        <w:t xml:space="preserve">, it would also be wrong </w:t>
      </w:r>
      <w:r w:rsidR="00F420D3">
        <w:t xml:space="preserve">in principle </w:t>
      </w:r>
      <w:r w:rsidR="00554920">
        <w:t>to strike it out at this stage.</w:t>
      </w:r>
    </w:p>
    <w:p w14:paraId="02F16DA0" w14:textId="4B8D0FBD" w:rsidR="00375DCE" w:rsidRDefault="00262F18" w:rsidP="00AB117A">
      <w:pPr>
        <w:pStyle w:val="ParaLevel1"/>
      </w:pPr>
      <w:r>
        <w:t>Subject to the undue hard</w:t>
      </w:r>
      <w:r w:rsidR="00C26A45">
        <w:t>s</w:t>
      </w:r>
      <w:r>
        <w:t>hip argument</w:t>
      </w:r>
      <w:r w:rsidR="009D257F">
        <w:t>, I consider that</w:t>
      </w:r>
      <w:r w:rsidR="00C26A45">
        <w:t xml:space="preserve">, for the reasons set out in Sections </w:t>
      </w:r>
      <w:r w:rsidR="0058785C">
        <w:t>9 and 10,</w:t>
      </w:r>
      <w:r w:rsidR="009D257F">
        <w:t xml:space="preserve"> the claim is statute barred. I do not consider that there is any relevant material </w:t>
      </w:r>
      <w:r w:rsidR="003A68B4">
        <w:t>concerning</w:t>
      </w:r>
      <w:r w:rsidR="009D257F">
        <w:t xml:space="preserve"> </w:t>
      </w:r>
      <w:r w:rsidR="009D417C">
        <w:t xml:space="preserve">the application of </w:t>
      </w:r>
      <w:r w:rsidR="009D257F">
        <w:t xml:space="preserve">either Article 7 or </w:t>
      </w:r>
      <w:r w:rsidR="00E73398">
        <w:t xml:space="preserve">Article </w:t>
      </w:r>
      <w:r w:rsidR="009D257F">
        <w:t>26 which is not available to the court. For the reasons set out in Section 9 above</w:t>
      </w:r>
      <w:r w:rsidR="004F6110">
        <w:t>,</w:t>
      </w:r>
      <w:r w:rsidR="009D257F">
        <w:t xml:space="preserve"> </w:t>
      </w:r>
      <w:r w:rsidR="00375DCE">
        <w:t xml:space="preserve">I </w:t>
      </w:r>
      <w:r w:rsidR="009D417C">
        <w:t>conclude that A</w:t>
      </w:r>
      <w:r w:rsidR="00FA220E">
        <w:t xml:space="preserve">rticle 7 </w:t>
      </w:r>
      <w:r w:rsidR="001A1D4C">
        <w:t>does</w:t>
      </w:r>
      <w:r w:rsidR="00FA220E">
        <w:t xml:space="preserve"> </w:t>
      </w:r>
      <w:r w:rsidR="001A1D4C">
        <w:t>not</w:t>
      </w:r>
      <w:r w:rsidR="00FA220E">
        <w:t xml:space="preserve"> apply to this case</w:t>
      </w:r>
      <w:r w:rsidR="00375DCE">
        <w:t xml:space="preserve">. </w:t>
      </w:r>
      <w:r w:rsidR="004F6110">
        <w:t>F</w:t>
      </w:r>
      <w:r w:rsidR="00607D94">
        <w:t xml:space="preserve">or the reasons set out in Section 10, </w:t>
      </w:r>
      <w:r w:rsidR="00C308DC">
        <w:t xml:space="preserve">I conclude that </w:t>
      </w:r>
      <w:r w:rsidR="004F6110">
        <w:t xml:space="preserve">Article 26 does not apply either, </w:t>
      </w:r>
      <w:r w:rsidR="001A1D4C">
        <w:t xml:space="preserve">unless the </w:t>
      </w:r>
      <w:r w:rsidR="00950003">
        <w:t>Respondent</w:t>
      </w:r>
      <w:r w:rsidR="001A1D4C">
        <w:t xml:space="preserve"> is able to establish, </w:t>
      </w:r>
      <w:r w:rsidR="00CA73F8">
        <w:t>within the confines of</w:t>
      </w:r>
      <w:r w:rsidR="001A1D4C">
        <w:t xml:space="preserve"> the particular </w:t>
      </w:r>
      <w:r w:rsidR="00C308DC">
        <w:t>issue</w:t>
      </w:r>
      <w:r w:rsidR="001A1D4C">
        <w:t xml:space="preserve"> noted above, the undue hardship argument.</w:t>
      </w:r>
    </w:p>
    <w:p w14:paraId="136C8EDA" w14:textId="223C4842" w:rsidR="001A1D4C" w:rsidRDefault="001A1D4C" w:rsidP="00AB117A">
      <w:pPr>
        <w:pStyle w:val="ParaLevel1"/>
      </w:pPr>
      <w:r>
        <w:t xml:space="preserve">If my Lords agree, I would </w:t>
      </w:r>
      <w:r w:rsidR="00074B6B">
        <w:t>make</w:t>
      </w:r>
      <w:r>
        <w:t xml:space="preserve"> an order to that effect.</w:t>
      </w:r>
    </w:p>
    <w:p w14:paraId="52BDF7A8" w14:textId="15E5F17A" w:rsidR="000B6879" w:rsidRDefault="000B6879" w:rsidP="00AB117A">
      <w:pPr>
        <w:pStyle w:val="ParaLevel1"/>
        <w:numPr>
          <w:ilvl w:val="0"/>
          <w:numId w:val="0"/>
        </w:numPr>
        <w:rPr>
          <w:b/>
          <w:u w:val="single"/>
        </w:rPr>
      </w:pPr>
      <w:r w:rsidRPr="000B6879">
        <w:rPr>
          <w:b/>
          <w:u w:val="single"/>
        </w:rPr>
        <w:t>LORD JUSTICE MALES:</w:t>
      </w:r>
    </w:p>
    <w:p w14:paraId="5516E9E6" w14:textId="09E5611E" w:rsidR="00654C29" w:rsidRDefault="00654C29" w:rsidP="00AB117A">
      <w:pPr>
        <w:pStyle w:val="ParaLevel1"/>
      </w:pPr>
      <w:r>
        <w:t xml:space="preserve">With one minor reservation (see [135] to [137] below), I agree with the judgment of Coulson LJ. In view of the interesting arguments addressed to us, I add some observations on two aspects of the case. I do so bearing in mind the guidance, most recently reiterated by the Supreme Court in </w:t>
      </w:r>
      <w:proofErr w:type="spellStart"/>
      <w:r w:rsidRPr="00143C05">
        <w:rPr>
          <w:i/>
          <w:iCs/>
        </w:rPr>
        <w:t>Okpabi</w:t>
      </w:r>
      <w:proofErr w:type="spellEnd"/>
      <w:r w:rsidRPr="00143C05">
        <w:rPr>
          <w:i/>
          <w:iCs/>
        </w:rPr>
        <w:t xml:space="preserve"> v Royal Dutch Shell Plc</w:t>
      </w:r>
      <w:r>
        <w:t xml:space="preserve"> [2021] </w:t>
      </w:r>
      <w:proofErr w:type="spellStart"/>
      <w:r>
        <w:t>UKSC</w:t>
      </w:r>
      <w:proofErr w:type="spellEnd"/>
      <w:r>
        <w:t xml:space="preserve"> 3 at [107], that “the factual averments made in support of the claim should be accepted unless, exceptionally, they are demonstrably untrue or unsupportable”. The factual averments made by the </w:t>
      </w:r>
      <w:r w:rsidR="00543A2F">
        <w:t>Claimant</w:t>
      </w:r>
      <w:r>
        <w:t xml:space="preserve"> in the present case are not demonstrably untrue. On the contrary they are clearly pleaded and supported by evidence which appears to be plausible. Nevertheless, it is important to say that in many respects they are disputed. It follows that what we have to decide at this stage is very different from the judge’s task at any trial. At this stage all we have to decide is whether the </w:t>
      </w:r>
      <w:r w:rsidR="00543A2F">
        <w:t>Claimant</w:t>
      </w:r>
      <w:r>
        <w:t xml:space="preserve"> has an arguable case on the facts assumed to be true. The issue at any trial will be whether she has a good case on the facts which are actually proved, which may cast the matter in a rather different light. When I refer to the facts in what follows, I am referring to the facts which have to be assumed for the purpose of the present appeal.</w:t>
      </w:r>
    </w:p>
    <w:p w14:paraId="6B17F066" w14:textId="77777777" w:rsidR="00654C29" w:rsidRPr="002E5E02" w:rsidRDefault="00654C29" w:rsidP="00AB117A">
      <w:pPr>
        <w:rPr>
          <w:rFonts w:asciiTheme="majorBidi" w:hAnsiTheme="majorBidi" w:cstheme="majorBidi"/>
          <w:b/>
          <w:bCs/>
        </w:rPr>
      </w:pPr>
      <w:r w:rsidRPr="002E5E02">
        <w:rPr>
          <w:rFonts w:asciiTheme="majorBidi" w:hAnsiTheme="majorBidi" w:cstheme="majorBidi"/>
          <w:b/>
          <w:bCs/>
        </w:rPr>
        <w:t>Duty of care</w:t>
      </w:r>
    </w:p>
    <w:p w14:paraId="106E5CB6" w14:textId="77777777" w:rsidR="00654C29" w:rsidRPr="00D513C5" w:rsidRDefault="00654C29" w:rsidP="00AB117A">
      <w:pPr>
        <w:pStyle w:val="ParaLevel1"/>
      </w:pPr>
      <w:r>
        <w:t>A tanker which has come to the end of its working life cannot just be abandoned or scuttled by its owner. That would create a physical and environmental danger. Instead, its thousands of tonnes of steel must be dismantled and recycled, and the toxic and polluting substances which it contains must be removed. Such shipbreaking is only carried out in a limited number of countries.</w:t>
      </w:r>
    </w:p>
    <w:p w14:paraId="74E77C12" w14:textId="4F701A87" w:rsidR="00654C29" w:rsidRPr="00DE275A" w:rsidRDefault="00654C29" w:rsidP="00AB117A">
      <w:pPr>
        <w:pStyle w:val="ParaLevel1"/>
      </w:pPr>
      <w:r>
        <w:t xml:space="preserve">When the “MARAN CENTAURUS” reached the end of its working life in the summer of 2017, its owner (by which term I include the </w:t>
      </w:r>
      <w:r w:rsidR="00543A2F">
        <w:t>Defend</w:t>
      </w:r>
      <w:r w:rsidR="00F03D10">
        <w:t>a</w:t>
      </w:r>
      <w:r w:rsidR="00543A2F">
        <w:t>nt</w:t>
      </w:r>
      <w:r>
        <w:t xml:space="preserve"> who must be treated for the purpose of this appeal as standing in the shoes of the owner) had to decide what to do with it. The choice was straightforward. Either the ship could be sent for dismantling in the relative safety of a dry dock in China or it could be run aground on a beach in the Indian subcontinent to be broken up by hand by workers who were not even provided with rudimentary safety equipment and where fatalities and serious injuries were both </w:t>
      </w:r>
      <w:r>
        <w:lastRenderedPageBreak/>
        <w:t xml:space="preserve">common and notorious. It might be thought that any responsible owner faced with that choice would opt for safety. But not so. Chinese shipyards would have been prepared to pay US $10 million for the ship but a buyer in the subcontinent, which did not have to bear the expense or go to the trouble of providing safe conditions for its workers, would pay more. A shipbreaker in </w:t>
      </w:r>
      <w:proofErr w:type="spellStart"/>
      <w:r>
        <w:t>Chattogram</w:t>
      </w:r>
      <w:proofErr w:type="spellEnd"/>
      <w:r>
        <w:t xml:space="preserve"> (formerly known as Chittagong) in Bangladesh, where conditions were worst of all, would pay the most, US $16 million. The owner of</w:t>
      </w:r>
      <w:r w:rsidRPr="007C0653">
        <w:t xml:space="preserve"> </w:t>
      </w:r>
      <w:r>
        <w:t xml:space="preserve">the “MARAN CENTAURUS” decided to take the money, leaving the workers in </w:t>
      </w:r>
      <w:proofErr w:type="spellStart"/>
      <w:r>
        <w:t>Chattogram</w:t>
      </w:r>
      <w:proofErr w:type="spellEnd"/>
      <w:r>
        <w:t xml:space="preserve"> to take the risk. So it was to </w:t>
      </w:r>
      <w:proofErr w:type="spellStart"/>
      <w:r>
        <w:t>Chattogram</w:t>
      </w:r>
      <w:proofErr w:type="spellEnd"/>
      <w:r>
        <w:t xml:space="preserve"> that the ship went. That, at any rate, is the </w:t>
      </w:r>
      <w:r w:rsidR="00543A2F">
        <w:t>Defendant’s</w:t>
      </w:r>
      <w:r>
        <w:t xml:space="preserve"> case, reduced to its essentials.</w:t>
      </w:r>
    </w:p>
    <w:p w14:paraId="6F8FA317" w14:textId="2B7FAEE0" w:rsidR="00654C29" w:rsidRPr="00A1615D" w:rsidRDefault="00654C29" w:rsidP="00AB117A">
      <w:pPr>
        <w:pStyle w:val="ParaLevel1"/>
      </w:pPr>
      <w:r>
        <w:t xml:space="preserve">In due course the entirely foreseeable happened when the </w:t>
      </w:r>
      <w:r w:rsidR="00543A2F">
        <w:t>Claimant’s</w:t>
      </w:r>
      <w:r>
        <w:t xml:space="preserve"> husband joined the ranks of </w:t>
      </w:r>
      <w:proofErr w:type="spellStart"/>
      <w:r>
        <w:t>Chattogram</w:t>
      </w:r>
      <w:proofErr w:type="spellEnd"/>
      <w:r>
        <w:t xml:space="preserve"> fatalities, falling to his death when working on the vessel at height without having been provided with a safety harness.</w:t>
      </w:r>
    </w:p>
    <w:p w14:paraId="7470A090" w14:textId="13C5EF67" w:rsidR="00654C29" w:rsidRPr="001D1A93" w:rsidRDefault="00654C29" w:rsidP="00AB117A">
      <w:pPr>
        <w:pStyle w:val="ParaLevel1"/>
      </w:pPr>
      <w:r>
        <w:t xml:space="preserve">The first issue on this appeal is whether it is arguable with a real prospect of success that the </w:t>
      </w:r>
      <w:r w:rsidR="00543A2F">
        <w:t>Defendant</w:t>
      </w:r>
      <w:r>
        <w:t xml:space="preserve"> owed a duty of care to the </w:t>
      </w:r>
      <w:r w:rsidR="00543A2F">
        <w:t>Claimant</w:t>
      </w:r>
      <w:r>
        <w:t>’s husband. This issue has been argued by reference to English law. There is a further issue whether the applicable law is English law or the law of Bangladesh, but for the purpose of deciding whether a duty of care exists it has not been suggested that there is any material difference between the two systems of law.</w:t>
      </w:r>
    </w:p>
    <w:p w14:paraId="1FCCB438" w14:textId="547840B8" w:rsidR="00654C29" w:rsidRPr="0062034B" w:rsidRDefault="00654C29" w:rsidP="00AB117A">
      <w:pPr>
        <w:pStyle w:val="ParaLevel1"/>
      </w:pPr>
      <w:r>
        <w:t>As Coulson LJ has explained, there is a well</w:t>
      </w:r>
      <w:r w:rsidR="00286B55">
        <w:t>-</w:t>
      </w:r>
      <w:r>
        <w:t xml:space="preserve">established exception to the principle that a </w:t>
      </w:r>
      <w:r w:rsidR="00543A2F">
        <w:t>D</w:t>
      </w:r>
      <w:r>
        <w:t xml:space="preserve">efendant is not liable for harm caused by the acts of a third party which applies when the </w:t>
      </w:r>
      <w:r w:rsidR="00543A2F">
        <w:t>D</w:t>
      </w:r>
      <w:r>
        <w:t xml:space="preserve">efendant is responsible for creating a state of danger which results in the third party causing injury to the </w:t>
      </w:r>
      <w:r w:rsidR="00543A2F">
        <w:t>C</w:t>
      </w:r>
      <w:r>
        <w:t xml:space="preserve">laimant. In my judgment it is at least arguable that this exception applies here, or at any rate that its application would represent only a minor incremental step from the existing authorities to which Coulson LJ has referred. The </w:t>
      </w:r>
      <w:r w:rsidR="00543A2F">
        <w:t>Defend</w:t>
      </w:r>
      <w:r w:rsidR="003C58A5">
        <w:t>a</w:t>
      </w:r>
      <w:r w:rsidR="00543A2F">
        <w:t>nt</w:t>
      </w:r>
      <w:r>
        <w:t xml:space="preserve"> was responsible for sending the ship to </w:t>
      </w:r>
      <w:proofErr w:type="spellStart"/>
      <w:r>
        <w:t>Chattogram</w:t>
      </w:r>
      <w:proofErr w:type="spellEnd"/>
      <w:r>
        <w:t xml:space="preserve">, knowing that this would expose workers such as the </w:t>
      </w:r>
      <w:r w:rsidR="00543A2F">
        <w:t>Claimant</w:t>
      </w:r>
      <w:r>
        <w:t xml:space="preserve">’s husband to the risk of death or serious injury as a result of the negligence of the shipbreaker which employed him. It was not a case where there was merely a risk that the shipbreaker would fail to take reasonable care for the safety of its workers. On the contrary, this was a certainty, as the </w:t>
      </w:r>
      <w:r w:rsidR="00E50F3F">
        <w:t>Defend</w:t>
      </w:r>
      <w:r w:rsidR="0098260E">
        <w:t>a</w:t>
      </w:r>
      <w:r w:rsidR="00E50F3F">
        <w:t>nt</w:t>
      </w:r>
      <w:r>
        <w:t xml:space="preserve"> knew. </w:t>
      </w:r>
    </w:p>
    <w:p w14:paraId="0B2A7E39" w14:textId="630C80B1" w:rsidR="00654C29" w:rsidRPr="001D30BB" w:rsidRDefault="00654C29" w:rsidP="00AB117A">
      <w:pPr>
        <w:pStyle w:val="ParaLevel1"/>
      </w:pPr>
      <w:r w:rsidRPr="00106AD0">
        <w:t xml:space="preserve">As I understood his submissions, Mr Robert Bright QC for the </w:t>
      </w:r>
      <w:r w:rsidR="00E50F3F">
        <w:t xml:space="preserve">Defendant </w:t>
      </w:r>
      <w:r w:rsidRPr="00106AD0">
        <w:t xml:space="preserve">advanced three </w:t>
      </w:r>
      <w:r>
        <w:t xml:space="preserve">main </w:t>
      </w:r>
      <w:r w:rsidRPr="00106AD0">
        <w:t>reasons why it is not arguable that the exception applies.</w:t>
      </w:r>
    </w:p>
    <w:p w14:paraId="7838F4D2" w14:textId="77777777" w:rsidR="00654C29" w:rsidRDefault="00654C29" w:rsidP="00AB117A">
      <w:pPr>
        <w:pStyle w:val="ParaLevel1"/>
      </w:pPr>
      <w:r w:rsidRPr="006C2257">
        <w:t xml:space="preserve">The first </w:t>
      </w:r>
      <w:r>
        <w:t>i</w:t>
      </w:r>
      <w:r w:rsidRPr="006C2257">
        <w:t xml:space="preserve">s that, on the facts, it was not the shipowner which sent the ship to </w:t>
      </w:r>
      <w:proofErr w:type="spellStart"/>
      <w:r w:rsidRPr="006C2257">
        <w:t>Chattogram</w:t>
      </w:r>
      <w:proofErr w:type="spellEnd"/>
      <w:r w:rsidRPr="006C2257">
        <w:t xml:space="preserve"> or which control</w:t>
      </w:r>
      <w:r>
        <w:t>led</w:t>
      </w:r>
      <w:r w:rsidRPr="006C2257">
        <w:t xml:space="preserve"> the ship’s ultimate destination</w:t>
      </w:r>
      <w:r>
        <w:t>.</w:t>
      </w:r>
      <w:r w:rsidRPr="006C2257">
        <w:t xml:space="preserve"> The shipowner merely sold the ship to an intermediate buyer</w:t>
      </w:r>
      <w:r>
        <w:t xml:space="preserve">, </w:t>
      </w:r>
      <w:proofErr w:type="spellStart"/>
      <w:r>
        <w:t>Hsejar</w:t>
      </w:r>
      <w:proofErr w:type="spellEnd"/>
      <w:r>
        <w:t>,</w:t>
      </w:r>
      <w:r w:rsidRPr="006C2257">
        <w:t xml:space="preserve"> </w:t>
      </w:r>
      <w:r>
        <w:t xml:space="preserve">which was free to decide where the ship should be broken up </w:t>
      </w:r>
      <w:r w:rsidRPr="006C2257">
        <w:t xml:space="preserve">and, moreover, </w:t>
      </w:r>
      <w:r>
        <w:t xml:space="preserve">it </w:t>
      </w:r>
      <w:r w:rsidRPr="006C2257">
        <w:t xml:space="preserve">did so on terms that </w:t>
      </w:r>
      <w:proofErr w:type="spellStart"/>
      <w:r w:rsidRPr="006C2257">
        <w:t>Hsejar</w:t>
      </w:r>
      <w:proofErr w:type="spellEnd"/>
      <w:r w:rsidRPr="006C2257">
        <w:t xml:space="preserve"> would sell it on to “a ship breaker’s yard that is competent and will perform the demolition and recycling of the Vessel in an environmentally sound manner and in accordance with good health and safety working practices” (see clause 22 of the sale contract dated 24</w:t>
      </w:r>
      <w:r w:rsidRPr="005311ED">
        <w:rPr>
          <w:vertAlign w:val="superscript"/>
        </w:rPr>
        <w:t>th</w:t>
      </w:r>
      <w:r>
        <w:t xml:space="preserve"> </w:t>
      </w:r>
      <w:r w:rsidRPr="006C2257">
        <w:t xml:space="preserve">August 2017). </w:t>
      </w:r>
    </w:p>
    <w:p w14:paraId="0E5DBD45" w14:textId="504C684F" w:rsidR="00654C29" w:rsidRPr="00E85EC0" w:rsidRDefault="00654C29" w:rsidP="00AB117A">
      <w:pPr>
        <w:pStyle w:val="ParaLevel1"/>
      </w:pPr>
      <w:r>
        <w:t>However, i</w:t>
      </w:r>
      <w:r w:rsidRPr="006C2257">
        <w:t xml:space="preserve">t is the </w:t>
      </w:r>
      <w:r w:rsidR="00E50F3F">
        <w:t>Claimant</w:t>
      </w:r>
      <w:r w:rsidRPr="006C2257">
        <w:t>’s case, supported by evidence, that the interposition of such an intermediate cash buyer was essentially a device for shipowners to seek to distance themselves from an unsavoury sector of the shipping industry, and that clause 22 was no more than a fig leaf which neither party intended to be taken seriously. There is support for that view in the sale contract</w:t>
      </w:r>
      <w:r>
        <w:t>. T</w:t>
      </w:r>
      <w:r w:rsidRPr="006C2257">
        <w:t>he sale price</w:t>
      </w:r>
      <w:r>
        <w:t xml:space="preserve"> </w:t>
      </w:r>
      <w:r w:rsidRPr="006C2257">
        <w:t>was only consistent with sale to an ultimate buyer in Bangladesh</w:t>
      </w:r>
      <w:r>
        <w:t xml:space="preserve">. The contract </w:t>
      </w:r>
      <w:r w:rsidRPr="006C2257">
        <w:t xml:space="preserve">provided for the existing name of the </w:t>
      </w:r>
      <w:r w:rsidRPr="006C2257">
        <w:lastRenderedPageBreak/>
        <w:t xml:space="preserve">ship and the manager’s emblem to be painted over, </w:t>
      </w:r>
      <w:r>
        <w:t xml:space="preserve">and for </w:t>
      </w:r>
      <w:r w:rsidRPr="006C2257">
        <w:t>the name to be changed and the ship to be registered under the flag of the Republic of Palau</w:t>
      </w:r>
      <w:r>
        <w:t>. T</w:t>
      </w:r>
      <w:r w:rsidRPr="006C2257">
        <w:t>he quantity of bunkers to be left on board</w:t>
      </w:r>
      <w:r>
        <w:t xml:space="preserve"> was </w:t>
      </w:r>
      <w:r w:rsidRPr="006C2257">
        <w:t>what was required for a voyage from Singapore to Bangladesh, but would not have sufficed if the ship was going to China. In those circumstances there is</w:t>
      </w:r>
      <w:r>
        <w:t xml:space="preserve"> at least</w:t>
      </w:r>
      <w:r w:rsidRPr="006C2257">
        <w:t xml:space="preserve"> an arguable case that the shipowner knew and intended that the ship would go to Bangladesh to be broken up, and </w:t>
      </w:r>
      <w:r>
        <w:t xml:space="preserve">that it </w:t>
      </w:r>
      <w:r w:rsidRPr="006C2257">
        <w:t xml:space="preserve">exercised the same control over the </w:t>
      </w:r>
      <w:r>
        <w:t>ship</w:t>
      </w:r>
      <w:r w:rsidRPr="006C2257">
        <w:t xml:space="preserve">’s destination as if it had been sold directly to the shipbreaker in </w:t>
      </w:r>
      <w:proofErr w:type="spellStart"/>
      <w:r w:rsidRPr="006C2257">
        <w:t>Chattogram</w:t>
      </w:r>
      <w:proofErr w:type="spellEnd"/>
      <w:r w:rsidRPr="006C2257">
        <w:t>.</w:t>
      </w:r>
    </w:p>
    <w:p w14:paraId="5C699550" w14:textId="5BDBCC72" w:rsidR="00654C29" w:rsidRPr="00E85EC0" w:rsidRDefault="00654C29" w:rsidP="00AB117A">
      <w:pPr>
        <w:pStyle w:val="ParaLevel1"/>
      </w:pPr>
      <w:r>
        <w:t xml:space="preserve">Mr Bright’s second submission was that there was no relationship of “proximity” between the shipowner and the </w:t>
      </w:r>
      <w:r w:rsidR="00E50F3F">
        <w:t>Claimant</w:t>
      </w:r>
      <w:r>
        <w:t>’s husband, that being a requirement for any duty of care. I accept that mere forese</w:t>
      </w:r>
      <w:r w:rsidRPr="000265A9">
        <w:t xml:space="preserve">eability of the risk of injury or even death is not enough to give rise to a duty of care and that proximity is required. What that means in the present context was explained by Lord Hoffmann in </w:t>
      </w:r>
      <w:proofErr w:type="spellStart"/>
      <w:r w:rsidRPr="000265A9">
        <w:rPr>
          <w:i/>
          <w:iCs/>
        </w:rPr>
        <w:t>Su</w:t>
      </w:r>
      <w:r w:rsidR="00A6115D">
        <w:rPr>
          <w:i/>
          <w:iCs/>
        </w:rPr>
        <w:t>t</w:t>
      </w:r>
      <w:r w:rsidRPr="000265A9">
        <w:rPr>
          <w:i/>
          <w:iCs/>
        </w:rPr>
        <w:t>radhar</w:t>
      </w:r>
      <w:proofErr w:type="spellEnd"/>
      <w:r w:rsidRPr="000265A9">
        <w:rPr>
          <w:i/>
          <w:iCs/>
        </w:rPr>
        <w:t xml:space="preserve"> v Natural Environment</w:t>
      </w:r>
      <w:r w:rsidR="00A6115D">
        <w:rPr>
          <w:i/>
          <w:iCs/>
        </w:rPr>
        <w:t>al</w:t>
      </w:r>
      <w:r w:rsidRPr="000265A9">
        <w:rPr>
          <w:i/>
          <w:iCs/>
        </w:rPr>
        <w:t xml:space="preserve"> Research Council</w:t>
      </w:r>
      <w:r w:rsidRPr="000265A9">
        <w:t xml:space="preserve"> [2006] </w:t>
      </w:r>
      <w:proofErr w:type="spellStart"/>
      <w:r w:rsidRPr="000265A9">
        <w:t>UKHL</w:t>
      </w:r>
      <w:proofErr w:type="spellEnd"/>
      <w:r w:rsidRPr="000265A9">
        <w:t xml:space="preserve"> 33, [2006] 4All ER 490, a case which, as it happens, also concerned Bangladesh.</w:t>
      </w:r>
      <w:r>
        <w:t xml:space="preserve"> The </w:t>
      </w:r>
      <w:r w:rsidR="00E50F3F">
        <w:t>D</w:t>
      </w:r>
      <w:r>
        <w:t xml:space="preserve">efendant carried out research into water samples taken from wells which were used for the supply of drinking water and negligently issued a report stating that the water was safe to drink, when in fact it was contaminated with arsenic. The House of Lords held that the </w:t>
      </w:r>
      <w:r w:rsidR="00E50F3F">
        <w:t>D</w:t>
      </w:r>
      <w:r>
        <w:t>efendant owed no duty of care because, although injury from arsenic poisoning was foreseeable, there was no relationship of proximity between the parties. Lord Hoffmann equated proximity with a measure of control over and responsibility for the potentially dangerous situation:</w:t>
      </w:r>
    </w:p>
    <w:p w14:paraId="599214E6" w14:textId="77777777" w:rsidR="00654C29" w:rsidRDefault="00654C29" w:rsidP="00AB117A">
      <w:pPr>
        <w:pStyle w:val="Quote"/>
      </w:pPr>
      <w:r w:rsidRPr="0033581D">
        <w:t xml:space="preserve">“38. </w:t>
      </w:r>
      <w:r>
        <w:t xml:space="preserve">… </w:t>
      </w:r>
      <w:r w:rsidRPr="0033581D">
        <w:t>It may or may not be possible now to subsume liability for negligent statements together with other conduct causing physical injury under a single principle. But that principle is not that a duty of care is owed in all cases in which it is foreseeable that in the absence of care someone may suffer physical injury. There must be proximity in the sense of a measure of control over and responsibility for the potentially dangerous situation. Such a principle does not help the claimant. In </w:t>
      </w:r>
      <w:r w:rsidRPr="0033581D">
        <w:rPr>
          <w:i/>
          <w:iCs/>
        </w:rPr>
        <w:t>Perrett</w:t>
      </w:r>
      <w:r>
        <w:rPr>
          <w:i/>
          <w:iCs/>
        </w:rPr>
        <w:t xml:space="preserve"> v Collin</w:t>
      </w:r>
      <w:r w:rsidRPr="0033581D">
        <w:rPr>
          <w:i/>
          <w:iCs/>
        </w:rPr>
        <w:t>s</w:t>
      </w:r>
      <w:r w:rsidRPr="0033581D">
        <w:t> </w:t>
      </w:r>
      <w:r>
        <w:t>[1988] 2 Lloyd’s Rep 255</w:t>
      </w:r>
      <w:r w:rsidRPr="0033581D">
        <w:t xml:space="preserve"> the inspector had complete control over whether the aircraft flew or not. If he refused a certificate it could not fly. The purpose of the system of certification established by the Air Navigation Order 1989 was equally clearly the protection of persons who might be injured by unairworthy aircraft and therefore placed responsibility for affording such protection upon the inspector. For my part, therefore, I have no difficulty with the proposition that the inspector owed a duty to potential passengers to exercise due care and this may be why </w:t>
      </w:r>
      <w:r w:rsidRPr="0033581D">
        <w:rPr>
          <w:i/>
          <w:iCs/>
        </w:rPr>
        <w:t>Perrett v Collins</w:t>
      </w:r>
      <w:r w:rsidRPr="0033581D">
        <w:t xml:space="preserve"> has not been reported in the official series of law reports. (Compare also </w:t>
      </w:r>
      <w:r w:rsidRPr="0033581D">
        <w:rPr>
          <w:i/>
          <w:iCs/>
        </w:rPr>
        <w:t>Clay v AJ Crump &amp; Sons Ltd</w:t>
      </w:r>
      <w:r w:rsidRPr="0033581D">
        <w:t> [1964] 1 QB 533 in which an architect had complete control over whether a dangerous wall was left standing and </w:t>
      </w:r>
      <w:r w:rsidRPr="0033581D">
        <w:rPr>
          <w:i/>
          <w:iCs/>
        </w:rPr>
        <w:t>Watson v British Boxing Board of Control Ltd</w:t>
      </w:r>
      <w:r w:rsidRPr="0033581D">
        <w:t> </w:t>
      </w:r>
      <w:r>
        <w:t xml:space="preserve">[2001] QB 1134 </w:t>
      </w:r>
      <w:r w:rsidRPr="0033581D">
        <w:t xml:space="preserve">in which the Board had control over the medical services provided at boxing matches.) But the claimant does not come even remotely within the principle stated by Hobhouse LJ. The BGS had no control whatever, whether in law or in practice, over the supply of drinking water in Bangladesh, nor was there any statute, contract or other arrangement which </w:t>
      </w:r>
      <w:r w:rsidRPr="0033581D">
        <w:lastRenderedPageBreak/>
        <w:t>imposed upon it responsibility for ensuring that it was safe to drink. Lord Brennan said that while it was true that the BGS had no control over or responsibility for the water supply, they had control over and responsibility for their report. But this emendation of Hobhouse LJ's principle would turn it into complete nonsense. Everyone has control over and responsibility for their own actions. The duty of care depends upon a proximate relationship with the source of danger, namely the supply of drinking water in Bangladesh.”</w:t>
      </w:r>
    </w:p>
    <w:p w14:paraId="5438988A" w14:textId="77777777" w:rsidR="00654C29" w:rsidRPr="0033581D" w:rsidRDefault="00654C29" w:rsidP="00AB117A">
      <w:pPr>
        <w:pStyle w:val="ListParagraph"/>
        <w:rPr>
          <w:rFonts w:asciiTheme="majorBidi" w:hAnsiTheme="majorBidi" w:cstheme="majorBidi"/>
        </w:rPr>
      </w:pPr>
    </w:p>
    <w:p w14:paraId="1A40CFEF" w14:textId="77777777" w:rsidR="00654C29" w:rsidRPr="006E5D1D" w:rsidRDefault="00654C29" w:rsidP="00AB117A">
      <w:pPr>
        <w:pStyle w:val="ParaLevel1"/>
      </w:pPr>
      <w:r>
        <w:t xml:space="preserve"> Lord Brown, who gave the only other reasoned speech, spoke to the same effect:</w:t>
      </w:r>
    </w:p>
    <w:p w14:paraId="4375C995" w14:textId="77777777" w:rsidR="00654C29" w:rsidRPr="009E43CD" w:rsidRDefault="00654C29" w:rsidP="00AB117A">
      <w:pPr>
        <w:pStyle w:val="Quote"/>
      </w:pPr>
      <w:r w:rsidRPr="009E43CD">
        <w:t xml:space="preserve">“48. Here the essential touchstones of proximity are missing. BGS had no </w:t>
      </w:r>
      <w:r>
        <w:t>‘</w:t>
      </w:r>
      <w:r w:rsidRPr="009E43CD">
        <w:t xml:space="preserve">control over or </w:t>
      </w:r>
      <w:r>
        <w:t>‘</w:t>
      </w:r>
      <w:r w:rsidRPr="009E43CD">
        <w:t>responsibility for</w:t>
      </w:r>
      <w:r>
        <w:t>’</w:t>
      </w:r>
      <w:r w:rsidRPr="009E43CD">
        <w:t xml:space="preserve"> (see p 262 of Hobhouse LJ's judgment in </w:t>
      </w:r>
      <w:r w:rsidRPr="009E43CD">
        <w:rPr>
          <w:i/>
          <w:iCs/>
        </w:rPr>
        <w:t>Perrett v Collins</w:t>
      </w:r>
      <w:r w:rsidRPr="009E43CD">
        <w:t> quoted by Lord Hoffmann at paragraph 38 above) the provision of safe drinking water to the citizens of Bangladesh in the same way as the architect, the air safety inspector and the British Boxing Board of Control had control over and responsibility for ensuring respectively a safe wall, a safe aircraft and a safe system for treating injured boxers.”</w:t>
      </w:r>
    </w:p>
    <w:p w14:paraId="18C33717" w14:textId="77777777" w:rsidR="00654C29" w:rsidRDefault="00654C29" w:rsidP="00AB117A">
      <w:pPr>
        <w:pStyle w:val="ListParagraph"/>
        <w:ind w:left="360"/>
        <w:rPr>
          <w:rFonts w:asciiTheme="majorBidi" w:hAnsiTheme="majorBidi" w:cstheme="majorBidi"/>
        </w:rPr>
      </w:pPr>
    </w:p>
    <w:p w14:paraId="73E16994" w14:textId="29E550BE" w:rsidR="00654C29" w:rsidRPr="00E85EC0" w:rsidRDefault="00654C29" w:rsidP="00AB117A">
      <w:pPr>
        <w:pStyle w:val="ParaLevel1"/>
      </w:pPr>
      <w:r>
        <w:t xml:space="preserve">In the present case the </w:t>
      </w:r>
      <w:r w:rsidR="00E50F3F">
        <w:t>Defend</w:t>
      </w:r>
      <w:r w:rsidR="00F03D10">
        <w:t>a</w:t>
      </w:r>
      <w:r w:rsidR="00E50F3F">
        <w:t>nt</w:t>
      </w:r>
      <w:r>
        <w:t xml:space="preserve"> did not have control over working conditions in </w:t>
      </w:r>
      <w:proofErr w:type="spellStart"/>
      <w:r>
        <w:t>Chattogram</w:t>
      </w:r>
      <w:proofErr w:type="spellEnd"/>
      <w:r>
        <w:t xml:space="preserve">, but it did have control over whether the </w:t>
      </w:r>
      <w:r w:rsidR="00E50F3F">
        <w:t>Claimant</w:t>
      </w:r>
      <w:r>
        <w:t xml:space="preserve">’s husband would be exposed to the risk of death or serious injury from working on its ship. That was a foreseeable risk which the </w:t>
      </w:r>
      <w:r w:rsidR="00E50F3F">
        <w:t>Defend</w:t>
      </w:r>
      <w:r w:rsidR="004332FA">
        <w:t>a</w:t>
      </w:r>
      <w:r w:rsidR="00E50F3F">
        <w:t>nt</w:t>
      </w:r>
      <w:r>
        <w:t xml:space="preserve"> created by its decision to send the vessel to be broken up in Bangladesh and is arguably sufficient, in my judgment, to create the necessary relationship of proximity.</w:t>
      </w:r>
    </w:p>
    <w:p w14:paraId="299C3599" w14:textId="2EB9555D" w:rsidR="00654C29" w:rsidRDefault="00654C29" w:rsidP="00AB117A">
      <w:pPr>
        <w:pStyle w:val="ParaLevel1"/>
      </w:pPr>
      <w:r>
        <w:t>Mr Bright’</w:t>
      </w:r>
      <w:r w:rsidR="00286B55">
        <w:t>s</w:t>
      </w:r>
      <w:r>
        <w:t xml:space="preserve"> third submission was that, if the </w:t>
      </w:r>
      <w:r w:rsidR="00E50F3F">
        <w:t>Claimant</w:t>
      </w:r>
      <w:r>
        <w:t xml:space="preserve">’s husband had not been killed while working on the </w:t>
      </w:r>
      <w:r w:rsidR="00E50F3F">
        <w:t>Defend</w:t>
      </w:r>
      <w:r w:rsidR="004332FA">
        <w:t>a</w:t>
      </w:r>
      <w:r w:rsidR="00E50F3F">
        <w:t>nt</w:t>
      </w:r>
      <w:r>
        <w:t xml:space="preserve">’s ship, he might just as easily have been killed or injured when working on some other ship. He was, said Mr Bright, already at risk every day of his working life. That is a submission which, in my view, does the </w:t>
      </w:r>
      <w:proofErr w:type="spellStart"/>
      <w:r w:rsidR="00E50F3F">
        <w:t>Defendent</w:t>
      </w:r>
      <w:proofErr w:type="spellEnd"/>
      <w:r>
        <w:t xml:space="preserve"> no credit. In any event, however, the fact that the </w:t>
      </w:r>
      <w:r w:rsidR="00E50F3F">
        <w:t>Claimant</w:t>
      </w:r>
      <w:r>
        <w:t>’s husband was exposed to other risks which did not materialise</w:t>
      </w:r>
      <w:r w:rsidRPr="008A7FC8">
        <w:t xml:space="preserve"> </w:t>
      </w:r>
      <w:r>
        <w:t xml:space="preserve">provides no answer to the </w:t>
      </w:r>
      <w:r w:rsidR="00E50F3F">
        <w:t>Claimant</w:t>
      </w:r>
      <w:r>
        <w:t xml:space="preserve">’s claim resulting from the fatality which did occur on the </w:t>
      </w:r>
      <w:r w:rsidR="00E50F3F">
        <w:t>Defend</w:t>
      </w:r>
      <w:r w:rsidR="004332FA">
        <w:t>a</w:t>
      </w:r>
      <w:r w:rsidR="00E50F3F">
        <w:t>nt</w:t>
      </w:r>
      <w:r>
        <w:t>’s ship as a result of a foreseeable and foreseen risk.</w:t>
      </w:r>
    </w:p>
    <w:p w14:paraId="68C0F889" w14:textId="58B8F34D" w:rsidR="00654C29" w:rsidRPr="001F0C8C" w:rsidRDefault="00654C29" w:rsidP="00AB117A">
      <w:pPr>
        <w:pStyle w:val="ParaLevel1"/>
      </w:pPr>
      <w:r>
        <w:t xml:space="preserve">Accordingly the </w:t>
      </w:r>
      <w:r w:rsidR="00E50F3F">
        <w:t>Claimant</w:t>
      </w:r>
      <w:r>
        <w:t xml:space="preserve">’s alternative case has, in my judgment, a sufficient prospect of success that it should not be struck out. The </w:t>
      </w:r>
      <w:r w:rsidR="00E50F3F">
        <w:t>Claimant</w:t>
      </w:r>
      <w:r>
        <w:t>’s primary case, based on conventional</w:t>
      </w:r>
      <w:r w:rsidRPr="00CE1298">
        <w:t xml:space="preserve"> </w:t>
      </w:r>
      <w:r w:rsidRPr="005311ED">
        <w:rPr>
          <w:i/>
          <w:iCs/>
        </w:rPr>
        <w:t>Donoghue v Stevenson</w:t>
      </w:r>
      <w:r>
        <w:t xml:space="preserve"> [1932] AC 562 principles, is more difficult. As Coulson LJ has explained at [41] above, in order to show a relationship of proximity between the </w:t>
      </w:r>
      <w:r w:rsidR="00E50F3F">
        <w:t>Claimant</w:t>
      </w:r>
      <w:r>
        <w:t xml:space="preserve">’s husband and the </w:t>
      </w:r>
      <w:r w:rsidR="00E50F3F">
        <w:t>Defendent</w:t>
      </w:r>
      <w:r>
        <w:t xml:space="preserve">, the </w:t>
      </w:r>
      <w:r w:rsidR="00E50F3F">
        <w:t>Claimant</w:t>
      </w:r>
      <w:r>
        <w:t xml:space="preserve"> will need to prove that the </w:t>
      </w:r>
      <w:r w:rsidR="00E50F3F">
        <w:t>Defend</w:t>
      </w:r>
      <w:r w:rsidR="004332FA">
        <w:t>a</w:t>
      </w:r>
      <w:r w:rsidR="00E50F3F">
        <w:t>nt</w:t>
      </w:r>
      <w:r>
        <w:t xml:space="preserve"> ought to have had her husband, or at any rate the shipbreaking workers in </w:t>
      </w:r>
      <w:proofErr w:type="spellStart"/>
      <w:r>
        <w:t>Chattogram</w:t>
      </w:r>
      <w:proofErr w:type="spellEnd"/>
      <w:r>
        <w:t xml:space="preserve">, reasonably in contemplation at the time of choosing to sell to </w:t>
      </w:r>
      <w:proofErr w:type="spellStart"/>
      <w:r>
        <w:t>Hsejar</w:t>
      </w:r>
      <w:proofErr w:type="spellEnd"/>
      <w:r>
        <w:t xml:space="preserve">. In this connection I regard the averment that the sale to an intermediate buyer such as </w:t>
      </w:r>
      <w:proofErr w:type="spellStart"/>
      <w:r>
        <w:t>Hsejar</w:t>
      </w:r>
      <w:proofErr w:type="spellEnd"/>
      <w:r>
        <w:t xml:space="preserve"> was a device to distance</w:t>
      </w:r>
      <w:r w:rsidRPr="001E7592">
        <w:t xml:space="preserve"> </w:t>
      </w:r>
      <w:r>
        <w:t xml:space="preserve">the shipowner </w:t>
      </w:r>
      <w:r w:rsidRPr="006C2257">
        <w:t xml:space="preserve">from an unsavoury sector of the </w:t>
      </w:r>
      <w:r w:rsidRPr="006C2257">
        <w:lastRenderedPageBreak/>
        <w:t>shipping industry</w:t>
      </w:r>
      <w:r>
        <w:t xml:space="preserve"> as particularly significant. If true, it is a reasonable inference that the </w:t>
      </w:r>
      <w:r w:rsidR="00E50F3F">
        <w:t>Defendant</w:t>
      </w:r>
      <w:r>
        <w:t xml:space="preserve"> had well in contemplation the danger to which those workers would be exposed and was attempting to break the relationship which it perceived  -- or was concerned that others would perceive – to exist. Accordingly, I consider that the </w:t>
      </w:r>
      <w:r w:rsidR="00E50F3F">
        <w:t>Claimant</w:t>
      </w:r>
      <w:r>
        <w:t>’s primary case, even if weaker than its alternative case, should not be struck out. In any event, if (as I consider) the alternative case has a real prospect of success and must go to trial, there is nothing to be gained and potentially something to be lost by striking out the primary case.</w:t>
      </w:r>
    </w:p>
    <w:p w14:paraId="4E0B8453" w14:textId="1426B5ED" w:rsidR="00654C29" w:rsidRDefault="00654C29" w:rsidP="00AB117A">
      <w:pPr>
        <w:pStyle w:val="ParaLevel1"/>
      </w:pPr>
      <w:r>
        <w:t xml:space="preserve">As I have said, it may turn out that the </w:t>
      </w:r>
      <w:r w:rsidR="00E50F3F">
        <w:t>Claimant</w:t>
      </w:r>
      <w:r>
        <w:t xml:space="preserve"> is unable to prove the factual averments which she makes. But if she is able to do so, it might be thought that it would be a poor system of justice which gave her no remedy against the </w:t>
      </w:r>
      <w:r w:rsidR="00E50F3F">
        <w:t>Defend</w:t>
      </w:r>
      <w:r w:rsidR="004332FA">
        <w:t>a</w:t>
      </w:r>
      <w:r w:rsidR="00E50F3F">
        <w:t>nt</w:t>
      </w:r>
      <w:r>
        <w:t>. In my judgment, it is at any rate arguable that English law does give her such a remedy and, subject to the issue of limitation, she should have the opportunity to seek to make good her case at trial.</w:t>
      </w:r>
    </w:p>
    <w:p w14:paraId="2AE034DA" w14:textId="77777777" w:rsidR="00654C29" w:rsidRPr="00277209" w:rsidRDefault="00654C29" w:rsidP="00AB117A">
      <w:pPr>
        <w:rPr>
          <w:rFonts w:asciiTheme="majorBidi" w:hAnsiTheme="majorBidi" w:cstheme="majorBidi"/>
          <w:b/>
          <w:bCs/>
        </w:rPr>
      </w:pPr>
      <w:r w:rsidRPr="00277209">
        <w:rPr>
          <w:rFonts w:asciiTheme="majorBidi" w:hAnsiTheme="majorBidi" w:cstheme="majorBidi"/>
          <w:b/>
          <w:bCs/>
        </w:rPr>
        <w:t>Article 7 of Rome II</w:t>
      </w:r>
    </w:p>
    <w:p w14:paraId="76585AB8" w14:textId="798862CC" w:rsidR="00654C29" w:rsidRPr="00215929" w:rsidRDefault="00654C29" w:rsidP="00AB117A">
      <w:pPr>
        <w:pStyle w:val="ParaLevel1"/>
      </w:pPr>
      <w:r>
        <w:t>There is, however, no point in having a trial if the claim is bound to fail because it is time-barred. The judge held that if Article 4 of the Rome II Regulation applies, the applicable law is the law of Bangladesh and that a non-extendable one</w:t>
      </w:r>
      <w:r w:rsidR="00286B55">
        <w:t>-</w:t>
      </w:r>
      <w:r>
        <w:t xml:space="preserve">year limitation period applies. </w:t>
      </w:r>
      <w:r w:rsidR="0068742D">
        <w:t xml:space="preserve">Permission to appeal from these conclusions was sought by the </w:t>
      </w:r>
      <w:r w:rsidR="00E50F3F">
        <w:t>Claimant</w:t>
      </w:r>
      <w:r w:rsidR="0068742D">
        <w:t xml:space="preserve">, but refused by Orders of Lady Justice </w:t>
      </w:r>
      <w:proofErr w:type="spellStart"/>
      <w:r w:rsidR="0068742D">
        <w:t>Carr</w:t>
      </w:r>
      <w:proofErr w:type="spellEnd"/>
      <w:r w:rsidR="0068742D">
        <w:t xml:space="preserve"> on 17 November 2020.</w:t>
      </w:r>
      <w:r>
        <w:t xml:space="preserve"> The </w:t>
      </w:r>
      <w:r w:rsidR="00E50F3F">
        <w:t>Claimant</w:t>
      </w:r>
      <w:r>
        <w:t xml:space="preserve"> seeks to escape from the resulting time bar by two routes. The first of those routes, Article 7, would mean that the claim as a whole is governed by English law. The second route, Article 26, would mean that the substantive merits of the claim continue to be governed by the law of Bangladesh, but that its one-year limitation period would be disapplied on the ground that its application in the present case is manifestly incompatible with English public policy.</w:t>
      </w:r>
    </w:p>
    <w:p w14:paraId="369D48A5" w14:textId="77777777" w:rsidR="00654C29" w:rsidRPr="0022245C" w:rsidRDefault="00654C29" w:rsidP="00AB117A">
      <w:pPr>
        <w:pStyle w:val="ParaLevel1"/>
      </w:pPr>
      <w:r>
        <w:t xml:space="preserve">In my view Article 7 gives rise to some issues of interpretation, both as a matter of language and policy, which are not entirely straightforward. One such issue is concerned with the nature and strength of the causative link required in order for the environmental damage to “arise out of” a non-contractual obligation and for personal injury to be regarded as the “result” of such environmental damage. </w:t>
      </w:r>
      <w:r w:rsidRPr="0022245C">
        <w:t xml:space="preserve">We were referred to no case law which addresses these questions and very little in textbooks or other academic writings. </w:t>
      </w:r>
      <w:r w:rsidRPr="005311ED">
        <w:rPr>
          <w:i/>
          <w:iCs/>
        </w:rPr>
        <w:t>Dicey, Morris &amp; Collins on the Conflict of Laws</w:t>
      </w:r>
      <w:r>
        <w:t>, 15</w:t>
      </w:r>
      <w:r w:rsidRPr="005311ED">
        <w:rPr>
          <w:vertAlign w:val="superscript"/>
        </w:rPr>
        <w:t>th</w:t>
      </w:r>
      <w:r>
        <w:t xml:space="preserve"> Ed (2018), para 35-070 suggests, without further explanation, that the personal injury must be the “direct” result of the environmental damage. </w:t>
      </w:r>
      <w:r w:rsidRPr="00A23AD5">
        <w:rPr>
          <w:i/>
          <w:iCs/>
        </w:rPr>
        <w:t>The European Private International Law of Obligations</w:t>
      </w:r>
      <w:r w:rsidRPr="0022245C">
        <w:t>, 4</w:t>
      </w:r>
      <w:r w:rsidRPr="0022245C">
        <w:rPr>
          <w:vertAlign w:val="superscript"/>
        </w:rPr>
        <w:t>th</w:t>
      </w:r>
      <w:r w:rsidRPr="0022245C">
        <w:t xml:space="preserve"> Ed (2015)</w:t>
      </w:r>
      <w:r>
        <w:t>,</w:t>
      </w:r>
      <w:r w:rsidRPr="0022245C">
        <w:t xml:space="preserve"> para 21-0</w:t>
      </w:r>
      <w:r>
        <w:t>20</w:t>
      </w:r>
      <w:r w:rsidRPr="0022245C">
        <w:t xml:space="preserve"> by Sir Richard </w:t>
      </w:r>
      <w:proofErr w:type="spellStart"/>
      <w:r w:rsidRPr="0022245C">
        <w:t>Plender</w:t>
      </w:r>
      <w:proofErr w:type="spellEnd"/>
      <w:r w:rsidRPr="0022245C">
        <w:t xml:space="preserve"> (whose early retirement from the bench due to illness was a sad loss to European law) and Michael </w:t>
      </w:r>
      <w:proofErr w:type="spellStart"/>
      <w:r w:rsidRPr="0022245C">
        <w:t>Wilderspin</w:t>
      </w:r>
      <w:proofErr w:type="spellEnd"/>
      <w:r>
        <w:t xml:space="preserve"> refers to (but does not identify) commentators who have argued for a loose connection between the environmental damage and the personal injury and suggests that there are good arguments on both sides.</w:t>
      </w:r>
    </w:p>
    <w:p w14:paraId="4AF8A8E6" w14:textId="77777777" w:rsidR="00654C29" w:rsidRPr="005311ED" w:rsidRDefault="00654C29" w:rsidP="00AB117A">
      <w:pPr>
        <w:pStyle w:val="ParaLevel1"/>
        <w:rPr>
          <w:rFonts w:asciiTheme="majorBidi" w:hAnsiTheme="majorBidi" w:cstheme="majorBidi"/>
        </w:rPr>
      </w:pPr>
      <w:r>
        <w:t>Another issue is what is meant by “the event giving rise to the damage”, in particular whether it refers to the event on which the claimant bases his or her claim or</w:t>
      </w:r>
      <w:r w:rsidRPr="0022245C">
        <w:t xml:space="preserve"> to what is objectively to be regarded as the proximate </w:t>
      </w:r>
      <w:r>
        <w:t xml:space="preserve">or effective </w:t>
      </w:r>
      <w:r w:rsidRPr="0022245C">
        <w:t xml:space="preserve">cause of that damage. </w:t>
      </w:r>
      <w:r w:rsidRPr="005311ED">
        <w:rPr>
          <w:i/>
          <w:iCs/>
        </w:rPr>
        <w:t>Dicey</w:t>
      </w:r>
      <w:r>
        <w:t xml:space="preserve">, para 35-070 says that “the event giving rise to the damage” should be identified with “the human activity which is the principal or substantial cause of the environmental damage”. That suggests that a comparison of causative potency is required. </w:t>
      </w:r>
      <w:proofErr w:type="spellStart"/>
      <w:r w:rsidRPr="005311ED">
        <w:rPr>
          <w:i/>
          <w:iCs/>
        </w:rPr>
        <w:t>JSC</w:t>
      </w:r>
      <w:proofErr w:type="spellEnd"/>
      <w:r w:rsidRPr="005311ED">
        <w:rPr>
          <w:i/>
          <w:iCs/>
        </w:rPr>
        <w:t xml:space="preserve"> </w:t>
      </w:r>
      <w:proofErr w:type="spellStart"/>
      <w:r w:rsidRPr="005311ED">
        <w:rPr>
          <w:i/>
          <w:iCs/>
        </w:rPr>
        <w:t>BTA</w:t>
      </w:r>
      <w:proofErr w:type="spellEnd"/>
      <w:r w:rsidRPr="005311ED">
        <w:rPr>
          <w:i/>
          <w:iCs/>
        </w:rPr>
        <w:t xml:space="preserve"> </w:t>
      </w:r>
      <w:r w:rsidRPr="005311ED">
        <w:rPr>
          <w:i/>
          <w:iCs/>
        </w:rPr>
        <w:lastRenderedPageBreak/>
        <w:t>Bank v Ablyazov</w:t>
      </w:r>
      <w:r>
        <w:t xml:space="preserve"> [2018] </w:t>
      </w:r>
      <w:proofErr w:type="spellStart"/>
      <w:r>
        <w:t>UKSC</w:t>
      </w:r>
      <w:proofErr w:type="spellEnd"/>
      <w:r>
        <w:t xml:space="preserve"> 19, [2020] AC 727, on the other hand, holds that identification of “the event giving rise to the damage” when that concept is used in the context of Article 5 of the Lugano Convention or Article 5 of the Brussels Convention and its successors “does not require a comparative consideration of the causative impact of different events” but refers to “the relevant harmful event which sets the tort in motion” or (in other words) which “gives rise to and is at the origin of the damage” (see in particular at [38] and [41]). </w:t>
      </w:r>
    </w:p>
    <w:p w14:paraId="407459EB" w14:textId="0A2BED1F" w:rsidR="00654C29" w:rsidRPr="005311ED" w:rsidRDefault="00654C29" w:rsidP="00AB117A">
      <w:pPr>
        <w:pStyle w:val="ParaLevel1"/>
        <w:rPr>
          <w:rFonts w:asciiTheme="majorBidi" w:hAnsiTheme="majorBidi" w:cstheme="majorBidi"/>
        </w:rPr>
      </w:pPr>
      <w:r w:rsidRPr="0022245C">
        <w:t xml:space="preserve">These are questions of European law to which it is to be expected that an autonomous answer should be given. </w:t>
      </w:r>
      <w:r>
        <w:t xml:space="preserve">While I find Coulson LJ’s reasoning compelling, in my judgment it is unnecessary to reach a final view about them in the present case and I would prefer not to do so. On any view, and even requiring only a “weak” or “loose” causative link between the environmental damage and the personal injury sustained, it is not reasonably arguable that the </w:t>
      </w:r>
      <w:r w:rsidR="0011780A">
        <w:t>Claimant</w:t>
      </w:r>
      <w:r>
        <w:t xml:space="preserve">’s husband fell to his death as a result of environmental damage. His death had nothing to do with environmental damage in any causative sense, but was caused by the absence of a safety harness. That is enough to conclude that the </w:t>
      </w:r>
      <w:r w:rsidR="0011780A">
        <w:t>Defendant</w:t>
      </w:r>
      <w:r>
        <w:t xml:space="preserve"> has no real prospect of being able to rely on Article 7.</w:t>
      </w:r>
    </w:p>
    <w:p w14:paraId="4AAA6875" w14:textId="77777777" w:rsidR="00654C29" w:rsidRPr="00C23BB6" w:rsidRDefault="00654C29" w:rsidP="00AB117A">
      <w:pPr>
        <w:rPr>
          <w:rFonts w:asciiTheme="majorBidi" w:hAnsiTheme="majorBidi" w:cstheme="majorBidi"/>
          <w:b/>
          <w:bCs/>
        </w:rPr>
      </w:pPr>
      <w:r w:rsidRPr="00C23BB6">
        <w:rPr>
          <w:rFonts w:asciiTheme="majorBidi" w:hAnsiTheme="majorBidi" w:cstheme="majorBidi"/>
          <w:b/>
          <w:bCs/>
        </w:rPr>
        <w:t>Article 26</w:t>
      </w:r>
    </w:p>
    <w:p w14:paraId="0676336A" w14:textId="77777777" w:rsidR="00654C29" w:rsidRDefault="00654C29" w:rsidP="00AB117A">
      <w:pPr>
        <w:pStyle w:val="ParaLevel1"/>
      </w:pPr>
      <w:r>
        <w:t>On Article 26 I have nothing to add to the judgment of Coulson LJ.</w:t>
      </w:r>
    </w:p>
    <w:p w14:paraId="7F9F13FD" w14:textId="77777777" w:rsidR="00654C29" w:rsidRPr="00C23BB6" w:rsidRDefault="00654C29" w:rsidP="00AB117A">
      <w:pPr>
        <w:rPr>
          <w:rFonts w:asciiTheme="majorBidi" w:hAnsiTheme="majorBidi" w:cstheme="majorBidi"/>
          <w:b/>
          <w:bCs/>
        </w:rPr>
      </w:pPr>
      <w:r w:rsidRPr="00C23BB6">
        <w:rPr>
          <w:rFonts w:asciiTheme="majorBidi" w:hAnsiTheme="majorBidi" w:cstheme="majorBidi"/>
          <w:b/>
          <w:bCs/>
        </w:rPr>
        <w:t>Conclusion</w:t>
      </w:r>
    </w:p>
    <w:p w14:paraId="316D9C6E" w14:textId="7A0DCE6F" w:rsidR="00654C29" w:rsidRPr="00C75BBB" w:rsidRDefault="00654C29" w:rsidP="00AB117A">
      <w:pPr>
        <w:pStyle w:val="ParaLevel1"/>
      </w:pPr>
      <w:r>
        <w:t xml:space="preserve">For these reasons, in addition to those given by Coulson LJ, I would make the order which he proposes. </w:t>
      </w:r>
    </w:p>
    <w:p w14:paraId="269BF36F" w14:textId="07CD76ED" w:rsidR="00673660" w:rsidRPr="000B6879" w:rsidRDefault="00673660" w:rsidP="00AB117A">
      <w:pPr>
        <w:pStyle w:val="ParaLevel1"/>
        <w:numPr>
          <w:ilvl w:val="0"/>
          <w:numId w:val="0"/>
        </w:numPr>
        <w:rPr>
          <w:b/>
          <w:u w:val="single"/>
        </w:rPr>
      </w:pPr>
      <w:r w:rsidRPr="000B6879">
        <w:rPr>
          <w:b/>
          <w:u w:val="single"/>
        </w:rPr>
        <w:t>LORD JUSTICE BEAN:</w:t>
      </w:r>
    </w:p>
    <w:p w14:paraId="3C58F06B" w14:textId="07F9B4FB" w:rsidR="00673660" w:rsidRDefault="003111A2" w:rsidP="00AB117A">
      <w:pPr>
        <w:pStyle w:val="ParaLevel1"/>
      </w:pPr>
      <w:r>
        <w:t xml:space="preserve">I agree with Coulson and Males </w:t>
      </w:r>
      <w:proofErr w:type="spellStart"/>
      <w:r>
        <w:t>LJJ</w:t>
      </w:r>
      <w:proofErr w:type="spellEnd"/>
      <w:r>
        <w:t xml:space="preserve"> that, for the reasons they both give, this claim raises triable issues of breach of a duty of care by the </w:t>
      </w:r>
      <w:r w:rsidR="00950003">
        <w:t>Appellant</w:t>
      </w:r>
      <w:r>
        <w:t xml:space="preserve"> which, subject to the question of limitation, should be allowed to proceed to a trial.  </w:t>
      </w:r>
    </w:p>
    <w:p w14:paraId="3002ADDD" w14:textId="4B4B2C2D" w:rsidR="00DA3E6A" w:rsidRDefault="00DA3E6A" w:rsidP="00AB117A">
      <w:pPr>
        <w:pStyle w:val="ParaLevel1"/>
      </w:pPr>
      <w:r>
        <w:t xml:space="preserve">Like Males LJ, I am not attracted by the argument “if Mr </w:t>
      </w:r>
      <w:proofErr w:type="spellStart"/>
      <w:r>
        <w:t>Mollah</w:t>
      </w:r>
      <w:proofErr w:type="spellEnd"/>
      <w:r>
        <w:t xml:space="preserve"> had not been killed working on our ship, he could just as easily have been killed or injured working on someone else’s”. On the </w:t>
      </w:r>
      <w:r w:rsidR="000D056C">
        <w:t>Claimant</w:t>
      </w:r>
      <w:r>
        <w:t xml:space="preserve">’s case, the </w:t>
      </w:r>
      <w:r w:rsidR="00BF2A5E">
        <w:t>Defendant</w:t>
      </w:r>
      <w:r>
        <w:t xml:space="preserve"> obtained the highest possible price for the Vessel and sought to wash their hands of responsibility for anything, however foreseeable, which happened after that. I endorse the observation of Males LJ at [133] that, if the </w:t>
      </w:r>
      <w:r w:rsidR="00FD2A12">
        <w:t>Claimant</w:t>
      </w:r>
      <w:r>
        <w:t xml:space="preserve"> is indeed able to prove the factual averments which she makes, it would be a poor system of justice that gave her no remedy against this </w:t>
      </w:r>
      <w:r w:rsidR="007F2CCB">
        <w:t>Defend</w:t>
      </w:r>
      <w:r w:rsidR="00950003">
        <w:t>ant</w:t>
      </w:r>
      <w:r>
        <w:t>.</w:t>
      </w:r>
    </w:p>
    <w:p w14:paraId="6F53AA81" w14:textId="0AEDF83E" w:rsidR="007771A7" w:rsidRDefault="007771A7" w:rsidP="00AB117A">
      <w:pPr>
        <w:pStyle w:val="ParaLevel1"/>
      </w:pPr>
      <w:r>
        <w:t>On the limitation issues, I agree that, for the reasons given by Coulson LJ, the case under Article 7 of Rome II has no reasonable prospect of success; and that the question of undue hardship under Article 26 should be remitted to the Queen’s Bench Division for trial as a preliminary issue.</w:t>
      </w:r>
    </w:p>
    <w:p w14:paraId="6F6895F4" w14:textId="684ABC97" w:rsidR="003111A2" w:rsidRDefault="003111A2" w:rsidP="00AB117A">
      <w:pPr>
        <w:pStyle w:val="ParaLevel1"/>
        <w:numPr>
          <w:ilvl w:val="0"/>
          <w:numId w:val="0"/>
        </w:numPr>
        <w:ind w:left="720"/>
      </w:pPr>
    </w:p>
    <w:p w14:paraId="244FF61C" w14:textId="2845AEA1" w:rsidR="00B8302B" w:rsidRDefault="00B8302B" w:rsidP="00AB117A">
      <w:pPr>
        <w:pStyle w:val="ParaLevel1"/>
        <w:numPr>
          <w:ilvl w:val="0"/>
          <w:numId w:val="0"/>
        </w:numPr>
      </w:pPr>
    </w:p>
    <w:sectPr w:rsidR="00B8302B" w:rsidSect="00AB117A">
      <w:type w:val="continuous"/>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4733" w16cex:dateUtc="2021-02-22T15: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6A503" w14:textId="77777777" w:rsidR="001357F0" w:rsidRDefault="001357F0">
      <w:r>
        <w:separator/>
      </w:r>
    </w:p>
  </w:endnote>
  <w:endnote w:type="continuationSeparator" w:id="0">
    <w:p w14:paraId="3C65BA03" w14:textId="77777777" w:rsidR="001357F0" w:rsidRDefault="0013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925F" w14:textId="77777777" w:rsidR="00AB117A" w:rsidRDefault="00AB1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FC9A"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99F66" w14:textId="77777777" w:rsidR="00AB117A" w:rsidRDefault="00AB11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20F63" w14:textId="77777777" w:rsidR="00C439A3" w:rsidRPr="00AB117A" w:rsidRDefault="00C439A3" w:rsidP="00AB1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8B21D" w14:textId="77777777" w:rsidR="001357F0" w:rsidRDefault="001357F0">
      <w:r>
        <w:separator/>
      </w:r>
    </w:p>
  </w:footnote>
  <w:footnote w:type="continuationSeparator" w:id="0">
    <w:p w14:paraId="05F4E365" w14:textId="77777777" w:rsidR="001357F0" w:rsidRDefault="0013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BD11" w14:textId="77777777" w:rsidR="00AB117A" w:rsidRDefault="00AB1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F3C2E" w14:textId="2C5BB9B3" w:rsidR="009C315C" w:rsidRDefault="009C315C" w:rsidP="00B26BD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214D6" w14:textId="77777777" w:rsidR="00AB117A" w:rsidRDefault="00AB11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C439A3" w14:paraId="4B4CAB86" w14:textId="77777777">
      <w:tc>
        <w:tcPr>
          <w:tcW w:w="4622" w:type="dxa"/>
        </w:tcPr>
        <w:p w14:paraId="259C7E11" w14:textId="0A375B29" w:rsidR="00C439A3" w:rsidRPr="00AB117A" w:rsidRDefault="00AB117A">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7F9D2977" w14:textId="6E9654DF" w:rsidR="00C439A3" w:rsidRDefault="00AD49CC">
          <w:pPr>
            <w:pStyle w:val="Header"/>
            <w:jc w:val="right"/>
            <w:rPr>
              <w:rFonts w:ascii="Times New Roman" w:hAnsi="Times New Roman"/>
              <w:sz w:val="16"/>
            </w:rPr>
          </w:pPr>
          <w:r>
            <w:rPr>
              <w:rFonts w:ascii="Times New Roman" w:hAnsi="Times New Roman"/>
              <w:sz w:val="16"/>
            </w:rPr>
            <w:t>Beg</w:t>
          </w:r>
          <w:r w:rsidR="00B26BD2">
            <w:rPr>
              <w:rFonts w:ascii="Times New Roman" w:hAnsi="Times New Roman"/>
              <w:sz w:val="16"/>
            </w:rPr>
            <w:t>u</w:t>
          </w:r>
          <w:r>
            <w:rPr>
              <w:rFonts w:ascii="Times New Roman" w:hAnsi="Times New Roman"/>
              <w:sz w:val="16"/>
            </w:rPr>
            <w:t>m v Maran</w:t>
          </w:r>
        </w:p>
      </w:tc>
    </w:tr>
  </w:tbl>
  <w:p w14:paraId="575CFFBB"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9830910"/>
    <w:multiLevelType w:val="multilevel"/>
    <w:tmpl w:val="9F52AEBE"/>
    <w:lvl w:ilvl="0">
      <w:start w:val="1"/>
      <w:numFmt w:val="decimal"/>
      <w:lvlText w:val="%1."/>
      <w:lvlJc w:val="left"/>
      <w:pPr>
        <w:tabs>
          <w:tab w:val="num" w:pos="1920"/>
        </w:tabs>
        <w:ind w:left="19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CD0633"/>
    <w:multiLevelType w:val="multilevel"/>
    <w:tmpl w:val="FC76D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1C0519"/>
    <w:multiLevelType w:val="multilevel"/>
    <w:tmpl w:val="840C5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EF0E20"/>
    <w:multiLevelType w:val="multilevel"/>
    <w:tmpl w:val="20AA5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9260F4"/>
    <w:multiLevelType w:val="multilevel"/>
    <w:tmpl w:val="991A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0"/>
  </w:num>
  <w:num w:numId="11">
    <w:abstractNumId w:val="3"/>
    <w:lvlOverride w:ilvl="0">
      <w:startOverride w:val="13"/>
    </w:lvlOverride>
  </w:num>
  <w:num w:numId="12">
    <w:abstractNumId w:val="3"/>
    <w:lvlOverride w:ilvl="0">
      <w:startOverride w:val="14"/>
    </w:lvlOverride>
  </w:num>
  <w:num w:numId="13">
    <w:abstractNumId w:val="1"/>
    <w:lvlOverride w:ilvl="0">
      <w:startOverride w:val="13"/>
    </w:lvlOverride>
  </w:num>
  <w:num w:numId="14">
    <w:abstractNumId w:val="1"/>
    <w:lvlOverride w:ilvl="0">
      <w:startOverride w:val="14"/>
    </w:lvlOverride>
  </w:num>
  <w:num w:numId="15">
    <w:abstractNumId w:val="1"/>
    <w:lvlOverride w:ilvl="0">
      <w:startOverride w:val="19"/>
    </w:lvlOverride>
  </w:num>
  <w:num w:numId="16">
    <w:abstractNumId w:val="1"/>
    <w:lvlOverride w:ilvl="0">
      <w:startOverride w:val="30"/>
    </w:lvlOverride>
  </w:num>
  <w:num w:numId="17">
    <w:abstractNumId w:val="1"/>
    <w:lvlOverride w:ilvl="0">
      <w:startOverride w:val="31"/>
    </w:lvlOverride>
  </w:num>
  <w:num w:numId="18">
    <w:abstractNumId w:val="5"/>
    <w:lvlOverride w:ilvl="0">
      <w:startOverride w:val="38"/>
    </w:lvlOverride>
  </w:num>
  <w:num w:numId="19">
    <w:abstractNumId w:val="5"/>
    <w:lvlOverride w:ilvl="0">
      <w:startOverride w:val="39"/>
    </w:lvlOverride>
  </w:num>
  <w:num w:numId="20">
    <w:abstractNumId w:val="2"/>
    <w:lvlOverride w:ilvl="0">
      <w:startOverride w:val="97"/>
    </w:lvlOverride>
  </w:num>
  <w:num w:numId="21">
    <w:abstractNumId w:val="2"/>
    <w:lvlOverride w:ilvl="0">
      <w:startOverride w:val="98"/>
    </w:lvlOverride>
  </w:num>
  <w:num w:numId="22">
    <w:abstractNumId w:val="2"/>
    <w:lvlOverride w:ilvl="0">
      <w:startOverride w:val="99"/>
    </w:lvlOverride>
  </w:num>
  <w:num w:numId="23">
    <w:abstractNumId w:val="4"/>
    <w:lvlOverride w:ilvl="0">
      <w:startOverride w:val="8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B2"/>
    <w:rsid w:val="000007B5"/>
    <w:rsid w:val="00000A1E"/>
    <w:rsid w:val="00002B6F"/>
    <w:rsid w:val="00002EE3"/>
    <w:rsid w:val="0001082D"/>
    <w:rsid w:val="00010BAD"/>
    <w:rsid w:val="000142F9"/>
    <w:rsid w:val="000157E6"/>
    <w:rsid w:val="00017694"/>
    <w:rsid w:val="00022EC1"/>
    <w:rsid w:val="00023FA0"/>
    <w:rsid w:val="000242D2"/>
    <w:rsid w:val="000332C9"/>
    <w:rsid w:val="0003430A"/>
    <w:rsid w:val="00034680"/>
    <w:rsid w:val="00035496"/>
    <w:rsid w:val="00036EF3"/>
    <w:rsid w:val="00037DD2"/>
    <w:rsid w:val="00042D53"/>
    <w:rsid w:val="000446E7"/>
    <w:rsid w:val="0004662C"/>
    <w:rsid w:val="000506D7"/>
    <w:rsid w:val="00050741"/>
    <w:rsid w:val="00053E9F"/>
    <w:rsid w:val="000547A4"/>
    <w:rsid w:val="000551CB"/>
    <w:rsid w:val="00055ECD"/>
    <w:rsid w:val="00056E32"/>
    <w:rsid w:val="00057AF3"/>
    <w:rsid w:val="0006016B"/>
    <w:rsid w:val="00062AFE"/>
    <w:rsid w:val="000644A3"/>
    <w:rsid w:val="0006479F"/>
    <w:rsid w:val="0006509B"/>
    <w:rsid w:val="0006555A"/>
    <w:rsid w:val="000656BC"/>
    <w:rsid w:val="000673C3"/>
    <w:rsid w:val="0007006C"/>
    <w:rsid w:val="000704E9"/>
    <w:rsid w:val="000706E9"/>
    <w:rsid w:val="00070C1E"/>
    <w:rsid w:val="00074B6B"/>
    <w:rsid w:val="00074CBE"/>
    <w:rsid w:val="000756CE"/>
    <w:rsid w:val="00075B3F"/>
    <w:rsid w:val="00077FB5"/>
    <w:rsid w:val="00080E51"/>
    <w:rsid w:val="00082260"/>
    <w:rsid w:val="00083182"/>
    <w:rsid w:val="00083A71"/>
    <w:rsid w:val="00085813"/>
    <w:rsid w:val="00090E78"/>
    <w:rsid w:val="00091B39"/>
    <w:rsid w:val="00094297"/>
    <w:rsid w:val="00096441"/>
    <w:rsid w:val="000971FE"/>
    <w:rsid w:val="000A3A90"/>
    <w:rsid w:val="000A3CAA"/>
    <w:rsid w:val="000A42AE"/>
    <w:rsid w:val="000A4E19"/>
    <w:rsid w:val="000A73B7"/>
    <w:rsid w:val="000B08D4"/>
    <w:rsid w:val="000B25E0"/>
    <w:rsid w:val="000B328C"/>
    <w:rsid w:val="000B3A3C"/>
    <w:rsid w:val="000B3CD9"/>
    <w:rsid w:val="000B5835"/>
    <w:rsid w:val="000B5A48"/>
    <w:rsid w:val="000B64F0"/>
    <w:rsid w:val="000B6879"/>
    <w:rsid w:val="000B7481"/>
    <w:rsid w:val="000B7EF3"/>
    <w:rsid w:val="000C0196"/>
    <w:rsid w:val="000C01E8"/>
    <w:rsid w:val="000C0BF4"/>
    <w:rsid w:val="000C1317"/>
    <w:rsid w:val="000C21B5"/>
    <w:rsid w:val="000C3C20"/>
    <w:rsid w:val="000C6699"/>
    <w:rsid w:val="000C786D"/>
    <w:rsid w:val="000C7C52"/>
    <w:rsid w:val="000D056C"/>
    <w:rsid w:val="000D1BD4"/>
    <w:rsid w:val="000D27C1"/>
    <w:rsid w:val="000D3397"/>
    <w:rsid w:val="000D3607"/>
    <w:rsid w:val="000D7FBE"/>
    <w:rsid w:val="000E2224"/>
    <w:rsid w:val="000E2B7B"/>
    <w:rsid w:val="000E38A3"/>
    <w:rsid w:val="000E410B"/>
    <w:rsid w:val="000E4CA2"/>
    <w:rsid w:val="000E4D13"/>
    <w:rsid w:val="000E5466"/>
    <w:rsid w:val="000E5692"/>
    <w:rsid w:val="000E73CA"/>
    <w:rsid w:val="000E7FB0"/>
    <w:rsid w:val="000F00C0"/>
    <w:rsid w:val="000F1E3F"/>
    <w:rsid w:val="000F2951"/>
    <w:rsid w:val="000F3940"/>
    <w:rsid w:val="000F4B35"/>
    <w:rsid w:val="000F5183"/>
    <w:rsid w:val="000F5BDB"/>
    <w:rsid w:val="000F62BC"/>
    <w:rsid w:val="000F6C7E"/>
    <w:rsid w:val="00100F8E"/>
    <w:rsid w:val="001018C1"/>
    <w:rsid w:val="001018EA"/>
    <w:rsid w:val="0010610A"/>
    <w:rsid w:val="001068DB"/>
    <w:rsid w:val="00106CF9"/>
    <w:rsid w:val="00112DA6"/>
    <w:rsid w:val="00113632"/>
    <w:rsid w:val="00113FBD"/>
    <w:rsid w:val="0011780A"/>
    <w:rsid w:val="00120281"/>
    <w:rsid w:val="00120487"/>
    <w:rsid w:val="0012133F"/>
    <w:rsid w:val="00121779"/>
    <w:rsid w:val="00121B8E"/>
    <w:rsid w:val="001222BD"/>
    <w:rsid w:val="001230B6"/>
    <w:rsid w:val="00123AB8"/>
    <w:rsid w:val="00127C3C"/>
    <w:rsid w:val="00130924"/>
    <w:rsid w:val="00130E3B"/>
    <w:rsid w:val="00131740"/>
    <w:rsid w:val="001322FC"/>
    <w:rsid w:val="00132FFE"/>
    <w:rsid w:val="00133FF0"/>
    <w:rsid w:val="00135151"/>
    <w:rsid w:val="001357F0"/>
    <w:rsid w:val="001362CC"/>
    <w:rsid w:val="00136AF5"/>
    <w:rsid w:val="00137A80"/>
    <w:rsid w:val="00137F9A"/>
    <w:rsid w:val="00141E68"/>
    <w:rsid w:val="00142C73"/>
    <w:rsid w:val="00143F4D"/>
    <w:rsid w:val="001463C3"/>
    <w:rsid w:val="00150892"/>
    <w:rsid w:val="00150C8F"/>
    <w:rsid w:val="00155E7C"/>
    <w:rsid w:val="00156A16"/>
    <w:rsid w:val="00156C25"/>
    <w:rsid w:val="001576F3"/>
    <w:rsid w:val="00160D65"/>
    <w:rsid w:val="0016170C"/>
    <w:rsid w:val="00162127"/>
    <w:rsid w:val="001650E0"/>
    <w:rsid w:val="00165616"/>
    <w:rsid w:val="00165DE4"/>
    <w:rsid w:val="001673AE"/>
    <w:rsid w:val="001677C9"/>
    <w:rsid w:val="001704BB"/>
    <w:rsid w:val="001738E4"/>
    <w:rsid w:val="00173EBB"/>
    <w:rsid w:val="0017403E"/>
    <w:rsid w:val="001741BB"/>
    <w:rsid w:val="0017472A"/>
    <w:rsid w:val="0018150E"/>
    <w:rsid w:val="00181D93"/>
    <w:rsid w:val="00183832"/>
    <w:rsid w:val="001841E0"/>
    <w:rsid w:val="00185691"/>
    <w:rsid w:val="00185745"/>
    <w:rsid w:val="00185B2C"/>
    <w:rsid w:val="00185D2B"/>
    <w:rsid w:val="00185EF1"/>
    <w:rsid w:val="001861A6"/>
    <w:rsid w:val="001865F6"/>
    <w:rsid w:val="001870C0"/>
    <w:rsid w:val="00187844"/>
    <w:rsid w:val="001878A3"/>
    <w:rsid w:val="00187957"/>
    <w:rsid w:val="00190A5A"/>
    <w:rsid w:val="00192FE7"/>
    <w:rsid w:val="0019349C"/>
    <w:rsid w:val="001975A0"/>
    <w:rsid w:val="001A15C5"/>
    <w:rsid w:val="001A18C4"/>
    <w:rsid w:val="001A1D4C"/>
    <w:rsid w:val="001A41DA"/>
    <w:rsid w:val="001A43C7"/>
    <w:rsid w:val="001A6687"/>
    <w:rsid w:val="001A70ED"/>
    <w:rsid w:val="001A7DF3"/>
    <w:rsid w:val="001B01E7"/>
    <w:rsid w:val="001B025C"/>
    <w:rsid w:val="001B080C"/>
    <w:rsid w:val="001B10BD"/>
    <w:rsid w:val="001B130F"/>
    <w:rsid w:val="001B1AD2"/>
    <w:rsid w:val="001B22EE"/>
    <w:rsid w:val="001B3070"/>
    <w:rsid w:val="001B54AE"/>
    <w:rsid w:val="001B6290"/>
    <w:rsid w:val="001B6CC4"/>
    <w:rsid w:val="001C21B7"/>
    <w:rsid w:val="001C2FCD"/>
    <w:rsid w:val="001C51FA"/>
    <w:rsid w:val="001C6F7E"/>
    <w:rsid w:val="001C7459"/>
    <w:rsid w:val="001C7CD5"/>
    <w:rsid w:val="001D0074"/>
    <w:rsid w:val="001D1D09"/>
    <w:rsid w:val="001D3859"/>
    <w:rsid w:val="001D41A1"/>
    <w:rsid w:val="001D4DE4"/>
    <w:rsid w:val="001D5A45"/>
    <w:rsid w:val="001D5B68"/>
    <w:rsid w:val="001D6511"/>
    <w:rsid w:val="001D6A75"/>
    <w:rsid w:val="001D6ED7"/>
    <w:rsid w:val="001E03C0"/>
    <w:rsid w:val="001E0A4D"/>
    <w:rsid w:val="001E109C"/>
    <w:rsid w:val="001E2318"/>
    <w:rsid w:val="001E4023"/>
    <w:rsid w:val="001E4919"/>
    <w:rsid w:val="001E578F"/>
    <w:rsid w:val="001E5C6C"/>
    <w:rsid w:val="001E78FB"/>
    <w:rsid w:val="001F1A8E"/>
    <w:rsid w:val="001F1C8D"/>
    <w:rsid w:val="001F2C31"/>
    <w:rsid w:val="001F304D"/>
    <w:rsid w:val="001F3CEA"/>
    <w:rsid w:val="001F4662"/>
    <w:rsid w:val="001F47C9"/>
    <w:rsid w:val="001F47DE"/>
    <w:rsid w:val="001F490C"/>
    <w:rsid w:val="00200599"/>
    <w:rsid w:val="002039C0"/>
    <w:rsid w:val="00203EF6"/>
    <w:rsid w:val="002044EC"/>
    <w:rsid w:val="002045EB"/>
    <w:rsid w:val="002056D1"/>
    <w:rsid w:val="0020730F"/>
    <w:rsid w:val="00207A96"/>
    <w:rsid w:val="00207B2A"/>
    <w:rsid w:val="00210793"/>
    <w:rsid w:val="00210F2F"/>
    <w:rsid w:val="0021239A"/>
    <w:rsid w:val="002136C4"/>
    <w:rsid w:val="00214709"/>
    <w:rsid w:val="002160C3"/>
    <w:rsid w:val="00217726"/>
    <w:rsid w:val="00217822"/>
    <w:rsid w:val="00220BFF"/>
    <w:rsid w:val="00223B26"/>
    <w:rsid w:val="00224A0C"/>
    <w:rsid w:val="00224EB8"/>
    <w:rsid w:val="00225B72"/>
    <w:rsid w:val="00225E57"/>
    <w:rsid w:val="00226D61"/>
    <w:rsid w:val="00226F21"/>
    <w:rsid w:val="0022700B"/>
    <w:rsid w:val="0023120C"/>
    <w:rsid w:val="002312CA"/>
    <w:rsid w:val="002315C3"/>
    <w:rsid w:val="002319AD"/>
    <w:rsid w:val="00233260"/>
    <w:rsid w:val="0023378F"/>
    <w:rsid w:val="00240187"/>
    <w:rsid w:val="00240878"/>
    <w:rsid w:val="00244958"/>
    <w:rsid w:val="00245DC0"/>
    <w:rsid w:val="00246EF7"/>
    <w:rsid w:val="00247662"/>
    <w:rsid w:val="00247C7B"/>
    <w:rsid w:val="002506AC"/>
    <w:rsid w:val="00250FB1"/>
    <w:rsid w:val="002512E0"/>
    <w:rsid w:val="00251704"/>
    <w:rsid w:val="002519F3"/>
    <w:rsid w:val="00251C50"/>
    <w:rsid w:val="0025303A"/>
    <w:rsid w:val="00254172"/>
    <w:rsid w:val="00254E54"/>
    <w:rsid w:val="00254E81"/>
    <w:rsid w:val="00255E1D"/>
    <w:rsid w:val="002564C5"/>
    <w:rsid w:val="00257D6D"/>
    <w:rsid w:val="002617A2"/>
    <w:rsid w:val="00262060"/>
    <w:rsid w:val="00262F18"/>
    <w:rsid w:val="00265B8C"/>
    <w:rsid w:val="00270B39"/>
    <w:rsid w:val="00270D64"/>
    <w:rsid w:val="0027188E"/>
    <w:rsid w:val="00273B9D"/>
    <w:rsid w:val="00274D11"/>
    <w:rsid w:val="00275D46"/>
    <w:rsid w:val="00275FA0"/>
    <w:rsid w:val="00280110"/>
    <w:rsid w:val="002810D7"/>
    <w:rsid w:val="00282302"/>
    <w:rsid w:val="002832E3"/>
    <w:rsid w:val="00283C35"/>
    <w:rsid w:val="00285898"/>
    <w:rsid w:val="00286B55"/>
    <w:rsid w:val="00287825"/>
    <w:rsid w:val="00287AC5"/>
    <w:rsid w:val="00287DCE"/>
    <w:rsid w:val="00291D73"/>
    <w:rsid w:val="00292424"/>
    <w:rsid w:val="0029453F"/>
    <w:rsid w:val="002947C2"/>
    <w:rsid w:val="00294AC9"/>
    <w:rsid w:val="002978FD"/>
    <w:rsid w:val="002A02C7"/>
    <w:rsid w:val="002A1879"/>
    <w:rsid w:val="002A3677"/>
    <w:rsid w:val="002A39F6"/>
    <w:rsid w:val="002A3E6E"/>
    <w:rsid w:val="002A529D"/>
    <w:rsid w:val="002A53AB"/>
    <w:rsid w:val="002B0A81"/>
    <w:rsid w:val="002B202A"/>
    <w:rsid w:val="002B372B"/>
    <w:rsid w:val="002B6111"/>
    <w:rsid w:val="002C109F"/>
    <w:rsid w:val="002C1ECF"/>
    <w:rsid w:val="002C2415"/>
    <w:rsid w:val="002C34FE"/>
    <w:rsid w:val="002C3E73"/>
    <w:rsid w:val="002D0771"/>
    <w:rsid w:val="002D2ADC"/>
    <w:rsid w:val="002D6744"/>
    <w:rsid w:val="002D6AC2"/>
    <w:rsid w:val="002D7141"/>
    <w:rsid w:val="002D72FD"/>
    <w:rsid w:val="002E0999"/>
    <w:rsid w:val="002E19BD"/>
    <w:rsid w:val="002E1BE5"/>
    <w:rsid w:val="002E283E"/>
    <w:rsid w:val="002E2DD3"/>
    <w:rsid w:val="002E5988"/>
    <w:rsid w:val="002E6457"/>
    <w:rsid w:val="002F0029"/>
    <w:rsid w:val="002F0051"/>
    <w:rsid w:val="002F335E"/>
    <w:rsid w:val="002F5152"/>
    <w:rsid w:val="002F6DC7"/>
    <w:rsid w:val="003005AD"/>
    <w:rsid w:val="00300A7A"/>
    <w:rsid w:val="00300B8A"/>
    <w:rsid w:val="00301DE7"/>
    <w:rsid w:val="00304F5F"/>
    <w:rsid w:val="00307249"/>
    <w:rsid w:val="00310A3D"/>
    <w:rsid w:val="00310CB3"/>
    <w:rsid w:val="00310E91"/>
    <w:rsid w:val="003111A2"/>
    <w:rsid w:val="0031177E"/>
    <w:rsid w:val="003118F4"/>
    <w:rsid w:val="00312019"/>
    <w:rsid w:val="00312414"/>
    <w:rsid w:val="00313CB8"/>
    <w:rsid w:val="00314591"/>
    <w:rsid w:val="00314826"/>
    <w:rsid w:val="00314933"/>
    <w:rsid w:val="00314C4B"/>
    <w:rsid w:val="00315B10"/>
    <w:rsid w:val="00315D6A"/>
    <w:rsid w:val="00317726"/>
    <w:rsid w:val="00317F54"/>
    <w:rsid w:val="00320CE8"/>
    <w:rsid w:val="00326849"/>
    <w:rsid w:val="00326BB0"/>
    <w:rsid w:val="00327300"/>
    <w:rsid w:val="00327321"/>
    <w:rsid w:val="00332333"/>
    <w:rsid w:val="0033268F"/>
    <w:rsid w:val="00332C4D"/>
    <w:rsid w:val="00332EB8"/>
    <w:rsid w:val="00333DC7"/>
    <w:rsid w:val="00336609"/>
    <w:rsid w:val="00336746"/>
    <w:rsid w:val="00336BD1"/>
    <w:rsid w:val="00341388"/>
    <w:rsid w:val="0034181C"/>
    <w:rsid w:val="00342560"/>
    <w:rsid w:val="0034309A"/>
    <w:rsid w:val="003445E8"/>
    <w:rsid w:val="00344F08"/>
    <w:rsid w:val="00345300"/>
    <w:rsid w:val="00346676"/>
    <w:rsid w:val="00347C53"/>
    <w:rsid w:val="00350D71"/>
    <w:rsid w:val="003510D7"/>
    <w:rsid w:val="00352155"/>
    <w:rsid w:val="003523B4"/>
    <w:rsid w:val="003529B0"/>
    <w:rsid w:val="003551F5"/>
    <w:rsid w:val="00356669"/>
    <w:rsid w:val="0035686C"/>
    <w:rsid w:val="003568E5"/>
    <w:rsid w:val="00360A98"/>
    <w:rsid w:val="00362040"/>
    <w:rsid w:val="003639B0"/>
    <w:rsid w:val="00364360"/>
    <w:rsid w:val="00364C3D"/>
    <w:rsid w:val="00365FC7"/>
    <w:rsid w:val="0036606B"/>
    <w:rsid w:val="00367A4F"/>
    <w:rsid w:val="00367CFA"/>
    <w:rsid w:val="00367D6F"/>
    <w:rsid w:val="0037190D"/>
    <w:rsid w:val="0037242B"/>
    <w:rsid w:val="00372A72"/>
    <w:rsid w:val="00372DEA"/>
    <w:rsid w:val="00372EDF"/>
    <w:rsid w:val="003733BE"/>
    <w:rsid w:val="00374C0B"/>
    <w:rsid w:val="00375B4F"/>
    <w:rsid w:val="00375DCE"/>
    <w:rsid w:val="00375F09"/>
    <w:rsid w:val="00376A46"/>
    <w:rsid w:val="00377074"/>
    <w:rsid w:val="003803BC"/>
    <w:rsid w:val="003810C6"/>
    <w:rsid w:val="003824F4"/>
    <w:rsid w:val="00382697"/>
    <w:rsid w:val="00382BEB"/>
    <w:rsid w:val="003862A8"/>
    <w:rsid w:val="00387C69"/>
    <w:rsid w:val="003905F6"/>
    <w:rsid w:val="003907B0"/>
    <w:rsid w:val="00391ECE"/>
    <w:rsid w:val="00393BE5"/>
    <w:rsid w:val="003963D8"/>
    <w:rsid w:val="00397169"/>
    <w:rsid w:val="0039743E"/>
    <w:rsid w:val="003A03BE"/>
    <w:rsid w:val="003A067E"/>
    <w:rsid w:val="003A1F07"/>
    <w:rsid w:val="003A68B4"/>
    <w:rsid w:val="003A77AC"/>
    <w:rsid w:val="003A78D0"/>
    <w:rsid w:val="003B0111"/>
    <w:rsid w:val="003B0402"/>
    <w:rsid w:val="003B09F1"/>
    <w:rsid w:val="003B20C0"/>
    <w:rsid w:val="003B4D9E"/>
    <w:rsid w:val="003B6301"/>
    <w:rsid w:val="003B72BB"/>
    <w:rsid w:val="003C003E"/>
    <w:rsid w:val="003C0EF0"/>
    <w:rsid w:val="003C396B"/>
    <w:rsid w:val="003C58A5"/>
    <w:rsid w:val="003D0D4B"/>
    <w:rsid w:val="003D0F23"/>
    <w:rsid w:val="003D22D4"/>
    <w:rsid w:val="003D4969"/>
    <w:rsid w:val="003D7222"/>
    <w:rsid w:val="003E0041"/>
    <w:rsid w:val="003E0EE3"/>
    <w:rsid w:val="003E34A8"/>
    <w:rsid w:val="003E53E1"/>
    <w:rsid w:val="003E5586"/>
    <w:rsid w:val="003E5F1C"/>
    <w:rsid w:val="003E6957"/>
    <w:rsid w:val="003E73ED"/>
    <w:rsid w:val="003E75A1"/>
    <w:rsid w:val="003F159E"/>
    <w:rsid w:val="003F1D9C"/>
    <w:rsid w:val="003F24F7"/>
    <w:rsid w:val="003F26F6"/>
    <w:rsid w:val="003F2E8D"/>
    <w:rsid w:val="003F31F8"/>
    <w:rsid w:val="003F5265"/>
    <w:rsid w:val="003F6E3B"/>
    <w:rsid w:val="003F7211"/>
    <w:rsid w:val="003F7B7A"/>
    <w:rsid w:val="004015D8"/>
    <w:rsid w:val="0040286A"/>
    <w:rsid w:val="0040787F"/>
    <w:rsid w:val="00407955"/>
    <w:rsid w:val="00407D9E"/>
    <w:rsid w:val="00407F7E"/>
    <w:rsid w:val="00410EF1"/>
    <w:rsid w:val="00411CCF"/>
    <w:rsid w:val="004128DF"/>
    <w:rsid w:val="00415B73"/>
    <w:rsid w:val="00415E77"/>
    <w:rsid w:val="0041713E"/>
    <w:rsid w:val="0042119A"/>
    <w:rsid w:val="00422ADF"/>
    <w:rsid w:val="00423399"/>
    <w:rsid w:val="00423958"/>
    <w:rsid w:val="0042399E"/>
    <w:rsid w:val="00424385"/>
    <w:rsid w:val="00427989"/>
    <w:rsid w:val="004279D7"/>
    <w:rsid w:val="00430D7C"/>
    <w:rsid w:val="00430EE1"/>
    <w:rsid w:val="00431127"/>
    <w:rsid w:val="00431419"/>
    <w:rsid w:val="00431DDC"/>
    <w:rsid w:val="004320F1"/>
    <w:rsid w:val="004332FA"/>
    <w:rsid w:val="0043399A"/>
    <w:rsid w:val="00433B78"/>
    <w:rsid w:val="00436376"/>
    <w:rsid w:val="00440F43"/>
    <w:rsid w:val="0044193C"/>
    <w:rsid w:val="00441F5D"/>
    <w:rsid w:val="00442047"/>
    <w:rsid w:val="00442724"/>
    <w:rsid w:val="0044424A"/>
    <w:rsid w:val="00446625"/>
    <w:rsid w:val="00446AEF"/>
    <w:rsid w:val="00447102"/>
    <w:rsid w:val="004471A1"/>
    <w:rsid w:val="004471DA"/>
    <w:rsid w:val="00447A62"/>
    <w:rsid w:val="00447C60"/>
    <w:rsid w:val="00450827"/>
    <w:rsid w:val="00450E11"/>
    <w:rsid w:val="00451625"/>
    <w:rsid w:val="004525E7"/>
    <w:rsid w:val="004551D8"/>
    <w:rsid w:val="00456AC1"/>
    <w:rsid w:val="004612F0"/>
    <w:rsid w:val="00462B85"/>
    <w:rsid w:val="00462CE1"/>
    <w:rsid w:val="00465415"/>
    <w:rsid w:val="0046633F"/>
    <w:rsid w:val="00467D67"/>
    <w:rsid w:val="00471E30"/>
    <w:rsid w:val="00471FE0"/>
    <w:rsid w:val="00474EE0"/>
    <w:rsid w:val="00475044"/>
    <w:rsid w:val="00475395"/>
    <w:rsid w:val="004757C7"/>
    <w:rsid w:val="004762C4"/>
    <w:rsid w:val="0047653F"/>
    <w:rsid w:val="004779E7"/>
    <w:rsid w:val="0048233B"/>
    <w:rsid w:val="004824A6"/>
    <w:rsid w:val="0048326E"/>
    <w:rsid w:val="004864F6"/>
    <w:rsid w:val="00490C9D"/>
    <w:rsid w:val="0049197E"/>
    <w:rsid w:val="00491A0A"/>
    <w:rsid w:val="00491FCB"/>
    <w:rsid w:val="0049634E"/>
    <w:rsid w:val="00496A74"/>
    <w:rsid w:val="00496A95"/>
    <w:rsid w:val="004A2A19"/>
    <w:rsid w:val="004A2BC9"/>
    <w:rsid w:val="004A5FFC"/>
    <w:rsid w:val="004A6027"/>
    <w:rsid w:val="004A6D9F"/>
    <w:rsid w:val="004B2915"/>
    <w:rsid w:val="004B2D5D"/>
    <w:rsid w:val="004B49DA"/>
    <w:rsid w:val="004B4CB8"/>
    <w:rsid w:val="004B5247"/>
    <w:rsid w:val="004B53F6"/>
    <w:rsid w:val="004B5BAF"/>
    <w:rsid w:val="004B691E"/>
    <w:rsid w:val="004C0038"/>
    <w:rsid w:val="004C2A15"/>
    <w:rsid w:val="004C2A21"/>
    <w:rsid w:val="004C3F3F"/>
    <w:rsid w:val="004C5ED8"/>
    <w:rsid w:val="004C6FCF"/>
    <w:rsid w:val="004D1D23"/>
    <w:rsid w:val="004D3F7E"/>
    <w:rsid w:val="004D4CB2"/>
    <w:rsid w:val="004D563D"/>
    <w:rsid w:val="004D590A"/>
    <w:rsid w:val="004D64C9"/>
    <w:rsid w:val="004D68C3"/>
    <w:rsid w:val="004D6EDD"/>
    <w:rsid w:val="004D7552"/>
    <w:rsid w:val="004D7863"/>
    <w:rsid w:val="004D7CA8"/>
    <w:rsid w:val="004E00FC"/>
    <w:rsid w:val="004E0BAC"/>
    <w:rsid w:val="004E126B"/>
    <w:rsid w:val="004E2108"/>
    <w:rsid w:val="004E213F"/>
    <w:rsid w:val="004E7B97"/>
    <w:rsid w:val="004F004D"/>
    <w:rsid w:val="004F10C7"/>
    <w:rsid w:val="004F25F0"/>
    <w:rsid w:val="004F27BA"/>
    <w:rsid w:val="004F3CDF"/>
    <w:rsid w:val="004F3EB5"/>
    <w:rsid w:val="004F43A9"/>
    <w:rsid w:val="004F4A5B"/>
    <w:rsid w:val="004F532C"/>
    <w:rsid w:val="004F6110"/>
    <w:rsid w:val="004F7B77"/>
    <w:rsid w:val="004F7E81"/>
    <w:rsid w:val="00501215"/>
    <w:rsid w:val="005028A6"/>
    <w:rsid w:val="00502FEF"/>
    <w:rsid w:val="0050378A"/>
    <w:rsid w:val="00503904"/>
    <w:rsid w:val="0050445D"/>
    <w:rsid w:val="005045EC"/>
    <w:rsid w:val="005123B8"/>
    <w:rsid w:val="0051270A"/>
    <w:rsid w:val="00513AD3"/>
    <w:rsid w:val="005152C4"/>
    <w:rsid w:val="00520986"/>
    <w:rsid w:val="0052201C"/>
    <w:rsid w:val="00523BA0"/>
    <w:rsid w:val="00524783"/>
    <w:rsid w:val="0052592B"/>
    <w:rsid w:val="0052602C"/>
    <w:rsid w:val="005319F6"/>
    <w:rsid w:val="00531A9C"/>
    <w:rsid w:val="00531DAA"/>
    <w:rsid w:val="005326CA"/>
    <w:rsid w:val="005327BA"/>
    <w:rsid w:val="005339B8"/>
    <w:rsid w:val="0053401B"/>
    <w:rsid w:val="00540255"/>
    <w:rsid w:val="00540FC1"/>
    <w:rsid w:val="00541825"/>
    <w:rsid w:val="00541BD0"/>
    <w:rsid w:val="0054218B"/>
    <w:rsid w:val="005430E2"/>
    <w:rsid w:val="00543A2F"/>
    <w:rsid w:val="00543EC4"/>
    <w:rsid w:val="00544181"/>
    <w:rsid w:val="00545377"/>
    <w:rsid w:val="0054634B"/>
    <w:rsid w:val="00546DBE"/>
    <w:rsid w:val="005476C1"/>
    <w:rsid w:val="0055019F"/>
    <w:rsid w:val="00550694"/>
    <w:rsid w:val="005511BA"/>
    <w:rsid w:val="0055416E"/>
    <w:rsid w:val="00554920"/>
    <w:rsid w:val="00555550"/>
    <w:rsid w:val="00556FC5"/>
    <w:rsid w:val="005616FD"/>
    <w:rsid w:val="00563B54"/>
    <w:rsid w:val="00564D0C"/>
    <w:rsid w:val="00567748"/>
    <w:rsid w:val="00567FC6"/>
    <w:rsid w:val="00573A1D"/>
    <w:rsid w:val="00574C23"/>
    <w:rsid w:val="00576F26"/>
    <w:rsid w:val="005770BF"/>
    <w:rsid w:val="00580F4D"/>
    <w:rsid w:val="00581440"/>
    <w:rsid w:val="00581EA2"/>
    <w:rsid w:val="005828C2"/>
    <w:rsid w:val="005842D4"/>
    <w:rsid w:val="00584C27"/>
    <w:rsid w:val="00585018"/>
    <w:rsid w:val="00585C80"/>
    <w:rsid w:val="00585CDF"/>
    <w:rsid w:val="00585EAE"/>
    <w:rsid w:val="00586014"/>
    <w:rsid w:val="0058785C"/>
    <w:rsid w:val="005909FA"/>
    <w:rsid w:val="00590CA0"/>
    <w:rsid w:val="005932E3"/>
    <w:rsid w:val="00593E64"/>
    <w:rsid w:val="0059411A"/>
    <w:rsid w:val="005959DE"/>
    <w:rsid w:val="00596644"/>
    <w:rsid w:val="005969B5"/>
    <w:rsid w:val="0059726A"/>
    <w:rsid w:val="005A0BF8"/>
    <w:rsid w:val="005A132F"/>
    <w:rsid w:val="005A4C41"/>
    <w:rsid w:val="005A5A7F"/>
    <w:rsid w:val="005B05B9"/>
    <w:rsid w:val="005B1835"/>
    <w:rsid w:val="005B2C33"/>
    <w:rsid w:val="005B4B89"/>
    <w:rsid w:val="005B5682"/>
    <w:rsid w:val="005B6FA3"/>
    <w:rsid w:val="005C0054"/>
    <w:rsid w:val="005C0BBF"/>
    <w:rsid w:val="005C235B"/>
    <w:rsid w:val="005C2778"/>
    <w:rsid w:val="005C2D49"/>
    <w:rsid w:val="005C3CDE"/>
    <w:rsid w:val="005C3F82"/>
    <w:rsid w:val="005C4375"/>
    <w:rsid w:val="005D1517"/>
    <w:rsid w:val="005D21AA"/>
    <w:rsid w:val="005D22FE"/>
    <w:rsid w:val="005D4B30"/>
    <w:rsid w:val="005D4C4B"/>
    <w:rsid w:val="005D5214"/>
    <w:rsid w:val="005D5F97"/>
    <w:rsid w:val="005D79D1"/>
    <w:rsid w:val="005E0047"/>
    <w:rsid w:val="005E0347"/>
    <w:rsid w:val="005E098C"/>
    <w:rsid w:val="005E296D"/>
    <w:rsid w:val="005E2B9B"/>
    <w:rsid w:val="005E2DA1"/>
    <w:rsid w:val="005E4377"/>
    <w:rsid w:val="005E4CF4"/>
    <w:rsid w:val="005F1CBB"/>
    <w:rsid w:val="005F35BC"/>
    <w:rsid w:val="005F3AC4"/>
    <w:rsid w:val="005F48B9"/>
    <w:rsid w:val="005F520C"/>
    <w:rsid w:val="005F5BB8"/>
    <w:rsid w:val="005F7F9D"/>
    <w:rsid w:val="00601738"/>
    <w:rsid w:val="00601772"/>
    <w:rsid w:val="00601F80"/>
    <w:rsid w:val="0060267E"/>
    <w:rsid w:val="006048CF"/>
    <w:rsid w:val="00604AFA"/>
    <w:rsid w:val="00605853"/>
    <w:rsid w:val="006066EF"/>
    <w:rsid w:val="00607D94"/>
    <w:rsid w:val="0061053A"/>
    <w:rsid w:val="00610672"/>
    <w:rsid w:val="00610FD6"/>
    <w:rsid w:val="00615AD5"/>
    <w:rsid w:val="006163D0"/>
    <w:rsid w:val="006164B3"/>
    <w:rsid w:val="00616821"/>
    <w:rsid w:val="00616978"/>
    <w:rsid w:val="00620CA9"/>
    <w:rsid w:val="00621106"/>
    <w:rsid w:val="00622B75"/>
    <w:rsid w:val="006249AE"/>
    <w:rsid w:val="0062727C"/>
    <w:rsid w:val="006300F3"/>
    <w:rsid w:val="0063119B"/>
    <w:rsid w:val="00632A51"/>
    <w:rsid w:val="00632EA0"/>
    <w:rsid w:val="00632F1D"/>
    <w:rsid w:val="00634367"/>
    <w:rsid w:val="00635694"/>
    <w:rsid w:val="00635872"/>
    <w:rsid w:val="00637EBD"/>
    <w:rsid w:val="00641B0B"/>
    <w:rsid w:val="00641CD1"/>
    <w:rsid w:val="0064321C"/>
    <w:rsid w:val="00644A5B"/>
    <w:rsid w:val="00645E39"/>
    <w:rsid w:val="0064744D"/>
    <w:rsid w:val="00647A45"/>
    <w:rsid w:val="006500A1"/>
    <w:rsid w:val="00651938"/>
    <w:rsid w:val="00651A68"/>
    <w:rsid w:val="00652579"/>
    <w:rsid w:val="00654C29"/>
    <w:rsid w:val="006562C4"/>
    <w:rsid w:val="00656432"/>
    <w:rsid w:val="00663DCC"/>
    <w:rsid w:val="00663F83"/>
    <w:rsid w:val="00664E0C"/>
    <w:rsid w:val="006650C5"/>
    <w:rsid w:val="006662FB"/>
    <w:rsid w:val="00666458"/>
    <w:rsid w:val="00666690"/>
    <w:rsid w:val="006668F9"/>
    <w:rsid w:val="00666A25"/>
    <w:rsid w:val="00666B3E"/>
    <w:rsid w:val="006676A8"/>
    <w:rsid w:val="00671C92"/>
    <w:rsid w:val="00671F9C"/>
    <w:rsid w:val="0067251C"/>
    <w:rsid w:val="006727BD"/>
    <w:rsid w:val="00673660"/>
    <w:rsid w:val="006752E8"/>
    <w:rsid w:val="006753E4"/>
    <w:rsid w:val="006761D0"/>
    <w:rsid w:val="0067697A"/>
    <w:rsid w:val="00677FB3"/>
    <w:rsid w:val="00680599"/>
    <w:rsid w:val="006815CB"/>
    <w:rsid w:val="006827C3"/>
    <w:rsid w:val="00684084"/>
    <w:rsid w:val="00684B08"/>
    <w:rsid w:val="00685452"/>
    <w:rsid w:val="0068625E"/>
    <w:rsid w:val="00686EB1"/>
    <w:rsid w:val="0068742D"/>
    <w:rsid w:val="006907BB"/>
    <w:rsid w:val="00692FE3"/>
    <w:rsid w:val="006931B9"/>
    <w:rsid w:val="0069428B"/>
    <w:rsid w:val="00694D46"/>
    <w:rsid w:val="00694E27"/>
    <w:rsid w:val="0069501E"/>
    <w:rsid w:val="0069673F"/>
    <w:rsid w:val="006A162F"/>
    <w:rsid w:val="006A20C9"/>
    <w:rsid w:val="006A3159"/>
    <w:rsid w:val="006A3823"/>
    <w:rsid w:val="006A4031"/>
    <w:rsid w:val="006A548D"/>
    <w:rsid w:val="006A7D1D"/>
    <w:rsid w:val="006B1167"/>
    <w:rsid w:val="006B2522"/>
    <w:rsid w:val="006B2FC3"/>
    <w:rsid w:val="006B4E1D"/>
    <w:rsid w:val="006B4FAB"/>
    <w:rsid w:val="006B6BD8"/>
    <w:rsid w:val="006C0823"/>
    <w:rsid w:val="006C114C"/>
    <w:rsid w:val="006C14A4"/>
    <w:rsid w:val="006C17F3"/>
    <w:rsid w:val="006C2543"/>
    <w:rsid w:val="006C29FD"/>
    <w:rsid w:val="006C377D"/>
    <w:rsid w:val="006C5AFC"/>
    <w:rsid w:val="006D21FE"/>
    <w:rsid w:val="006D58E9"/>
    <w:rsid w:val="006D60B5"/>
    <w:rsid w:val="006D6A1C"/>
    <w:rsid w:val="006E0284"/>
    <w:rsid w:val="006E0AC8"/>
    <w:rsid w:val="006E0CB8"/>
    <w:rsid w:val="006E240A"/>
    <w:rsid w:val="006E2751"/>
    <w:rsid w:val="006E34A3"/>
    <w:rsid w:val="006E3DD2"/>
    <w:rsid w:val="006E4E72"/>
    <w:rsid w:val="006E5FCD"/>
    <w:rsid w:val="006E7C7B"/>
    <w:rsid w:val="006F0D61"/>
    <w:rsid w:val="006F4F5B"/>
    <w:rsid w:val="006F513A"/>
    <w:rsid w:val="006F5728"/>
    <w:rsid w:val="006F5929"/>
    <w:rsid w:val="006F6495"/>
    <w:rsid w:val="00700E11"/>
    <w:rsid w:val="00703C6A"/>
    <w:rsid w:val="0070585C"/>
    <w:rsid w:val="00710CB5"/>
    <w:rsid w:val="00710CCB"/>
    <w:rsid w:val="00711838"/>
    <w:rsid w:val="00711FDC"/>
    <w:rsid w:val="00713FF7"/>
    <w:rsid w:val="00715C9A"/>
    <w:rsid w:val="00715DB6"/>
    <w:rsid w:val="00715F6F"/>
    <w:rsid w:val="007204E4"/>
    <w:rsid w:val="00721065"/>
    <w:rsid w:val="00721D9C"/>
    <w:rsid w:val="00721EC7"/>
    <w:rsid w:val="00722308"/>
    <w:rsid w:val="00723003"/>
    <w:rsid w:val="0072492F"/>
    <w:rsid w:val="00725FCF"/>
    <w:rsid w:val="00727006"/>
    <w:rsid w:val="007275DF"/>
    <w:rsid w:val="0072794E"/>
    <w:rsid w:val="00727B5C"/>
    <w:rsid w:val="00727F3C"/>
    <w:rsid w:val="00730430"/>
    <w:rsid w:val="007315D4"/>
    <w:rsid w:val="007319AA"/>
    <w:rsid w:val="007330B4"/>
    <w:rsid w:val="007343AF"/>
    <w:rsid w:val="0073670E"/>
    <w:rsid w:val="00736D52"/>
    <w:rsid w:val="00737E48"/>
    <w:rsid w:val="007419BB"/>
    <w:rsid w:val="00741BAD"/>
    <w:rsid w:val="00741F70"/>
    <w:rsid w:val="00743C6E"/>
    <w:rsid w:val="0074419E"/>
    <w:rsid w:val="0074455E"/>
    <w:rsid w:val="00747BC8"/>
    <w:rsid w:val="00747E7E"/>
    <w:rsid w:val="0075139E"/>
    <w:rsid w:val="00751498"/>
    <w:rsid w:val="0075195E"/>
    <w:rsid w:val="00755420"/>
    <w:rsid w:val="00756615"/>
    <w:rsid w:val="00757C25"/>
    <w:rsid w:val="00760B53"/>
    <w:rsid w:val="00760E33"/>
    <w:rsid w:val="00762905"/>
    <w:rsid w:val="00762B9B"/>
    <w:rsid w:val="007630EE"/>
    <w:rsid w:val="00764CE1"/>
    <w:rsid w:val="0076613D"/>
    <w:rsid w:val="007722DE"/>
    <w:rsid w:val="00775240"/>
    <w:rsid w:val="00775B7F"/>
    <w:rsid w:val="00777169"/>
    <w:rsid w:val="007771A7"/>
    <w:rsid w:val="007779F6"/>
    <w:rsid w:val="00780C3E"/>
    <w:rsid w:val="00780F42"/>
    <w:rsid w:val="007843B5"/>
    <w:rsid w:val="00784830"/>
    <w:rsid w:val="0078690B"/>
    <w:rsid w:val="00786A85"/>
    <w:rsid w:val="00786B1C"/>
    <w:rsid w:val="00786C74"/>
    <w:rsid w:val="00786D4F"/>
    <w:rsid w:val="00787C1D"/>
    <w:rsid w:val="00787FDE"/>
    <w:rsid w:val="007902BE"/>
    <w:rsid w:val="00790E89"/>
    <w:rsid w:val="007920FE"/>
    <w:rsid w:val="00792391"/>
    <w:rsid w:val="00792C73"/>
    <w:rsid w:val="00792D5D"/>
    <w:rsid w:val="007935C0"/>
    <w:rsid w:val="00794AAF"/>
    <w:rsid w:val="00795017"/>
    <w:rsid w:val="00796B4D"/>
    <w:rsid w:val="0079718D"/>
    <w:rsid w:val="007A40AD"/>
    <w:rsid w:val="007A6078"/>
    <w:rsid w:val="007A627B"/>
    <w:rsid w:val="007A6A9E"/>
    <w:rsid w:val="007A6F03"/>
    <w:rsid w:val="007A7251"/>
    <w:rsid w:val="007A766A"/>
    <w:rsid w:val="007B0563"/>
    <w:rsid w:val="007B1DFE"/>
    <w:rsid w:val="007B358A"/>
    <w:rsid w:val="007B4078"/>
    <w:rsid w:val="007B6762"/>
    <w:rsid w:val="007C076F"/>
    <w:rsid w:val="007C34C7"/>
    <w:rsid w:val="007C38A9"/>
    <w:rsid w:val="007C3E3C"/>
    <w:rsid w:val="007C473D"/>
    <w:rsid w:val="007C50E3"/>
    <w:rsid w:val="007D0092"/>
    <w:rsid w:val="007D0C1C"/>
    <w:rsid w:val="007D10AC"/>
    <w:rsid w:val="007D2E62"/>
    <w:rsid w:val="007D4353"/>
    <w:rsid w:val="007D4AEC"/>
    <w:rsid w:val="007E38C9"/>
    <w:rsid w:val="007E44E7"/>
    <w:rsid w:val="007E48FE"/>
    <w:rsid w:val="007E5B30"/>
    <w:rsid w:val="007E66A2"/>
    <w:rsid w:val="007E7CED"/>
    <w:rsid w:val="007F1EE9"/>
    <w:rsid w:val="007F2991"/>
    <w:rsid w:val="007F2CCB"/>
    <w:rsid w:val="007F4E83"/>
    <w:rsid w:val="007F50BE"/>
    <w:rsid w:val="007F52E5"/>
    <w:rsid w:val="007F687C"/>
    <w:rsid w:val="007F79AF"/>
    <w:rsid w:val="007F7EB4"/>
    <w:rsid w:val="008017E4"/>
    <w:rsid w:val="00801E24"/>
    <w:rsid w:val="00801EB0"/>
    <w:rsid w:val="00802A1F"/>
    <w:rsid w:val="008054E0"/>
    <w:rsid w:val="00806D73"/>
    <w:rsid w:val="008121EB"/>
    <w:rsid w:val="0081254F"/>
    <w:rsid w:val="008127FA"/>
    <w:rsid w:val="008128CC"/>
    <w:rsid w:val="00813252"/>
    <w:rsid w:val="00813807"/>
    <w:rsid w:val="00813E4D"/>
    <w:rsid w:val="0081459E"/>
    <w:rsid w:val="008146CA"/>
    <w:rsid w:val="008149CE"/>
    <w:rsid w:val="00815F76"/>
    <w:rsid w:val="008160C8"/>
    <w:rsid w:val="00816546"/>
    <w:rsid w:val="00816874"/>
    <w:rsid w:val="00817340"/>
    <w:rsid w:val="00820641"/>
    <w:rsid w:val="00821AAD"/>
    <w:rsid w:val="00822105"/>
    <w:rsid w:val="008221CC"/>
    <w:rsid w:val="008233D7"/>
    <w:rsid w:val="008317DE"/>
    <w:rsid w:val="00831CAD"/>
    <w:rsid w:val="00835B46"/>
    <w:rsid w:val="00837A7F"/>
    <w:rsid w:val="008407D1"/>
    <w:rsid w:val="008418E6"/>
    <w:rsid w:val="00841A49"/>
    <w:rsid w:val="00842C54"/>
    <w:rsid w:val="0084431F"/>
    <w:rsid w:val="008447EF"/>
    <w:rsid w:val="00845E57"/>
    <w:rsid w:val="00846977"/>
    <w:rsid w:val="00846BE2"/>
    <w:rsid w:val="00851267"/>
    <w:rsid w:val="00851A14"/>
    <w:rsid w:val="0085253F"/>
    <w:rsid w:val="0085269B"/>
    <w:rsid w:val="008527C4"/>
    <w:rsid w:val="00853989"/>
    <w:rsid w:val="00857350"/>
    <w:rsid w:val="008577E2"/>
    <w:rsid w:val="0086060B"/>
    <w:rsid w:val="00861FEC"/>
    <w:rsid w:val="00862B02"/>
    <w:rsid w:val="00862CB2"/>
    <w:rsid w:val="00863926"/>
    <w:rsid w:val="0086738C"/>
    <w:rsid w:val="00872067"/>
    <w:rsid w:val="008759F2"/>
    <w:rsid w:val="0087701F"/>
    <w:rsid w:val="00877061"/>
    <w:rsid w:val="0087710C"/>
    <w:rsid w:val="0087767A"/>
    <w:rsid w:val="00880BC5"/>
    <w:rsid w:val="00881CDB"/>
    <w:rsid w:val="00887CF8"/>
    <w:rsid w:val="00891912"/>
    <w:rsid w:val="00893CD9"/>
    <w:rsid w:val="0089473F"/>
    <w:rsid w:val="00895344"/>
    <w:rsid w:val="008953A3"/>
    <w:rsid w:val="008975C9"/>
    <w:rsid w:val="008977C9"/>
    <w:rsid w:val="00897A07"/>
    <w:rsid w:val="00897D92"/>
    <w:rsid w:val="008A04B0"/>
    <w:rsid w:val="008A0746"/>
    <w:rsid w:val="008A212C"/>
    <w:rsid w:val="008A338B"/>
    <w:rsid w:val="008A3AA2"/>
    <w:rsid w:val="008A3D76"/>
    <w:rsid w:val="008A3F81"/>
    <w:rsid w:val="008B03EF"/>
    <w:rsid w:val="008B5D73"/>
    <w:rsid w:val="008B6C28"/>
    <w:rsid w:val="008C427C"/>
    <w:rsid w:val="008C4772"/>
    <w:rsid w:val="008D0E28"/>
    <w:rsid w:val="008D1427"/>
    <w:rsid w:val="008D298A"/>
    <w:rsid w:val="008D30DA"/>
    <w:rsid w:val="008D375A"/>
    <w:rsid w:val="008D441E"/>
    <w:rsid w:val="008D55BC"/>
    <w:rsid w:val="008D568A"/>
    <w:rsid w:val="008D6DCC"/>
    <w:rsid w:val="008D7474"/>
    <w:rsid w:val="008E08FF"/>
    <w:rsid w:val="008E13D0"/>
    <w:rsid w:val="008E15BB"/>
    <w:rsid w:val="008E16F8"/>
    <w:rsid w:val="008E2386"/>
    <w:rsid w:val="008E2851"/>
    <w:rsid w:val="008E4451"/>
    <w:rsid w:val="008E5194"/>
    <w:rsid w:val="008E5DAF"/>
    <w:rsid w:val="008F09E7"/>
    <w:rsid w:val="008F1C1A"/>
    <w:rsid w:val="008F3C9F"/>
    <w:rsid w:val="008F5F17"/>
    <w:rsid w:val="008F5F48"/>
    <w:rsid w:val="008F60A4"/>
    <w:rsid w:val="008F6770"/>
    <w:rsid w:val="008F6E12"/>
    <w:rsid w:val="00901735"/>
    <w:rsid w:val="00901A9F"/>
    <w:rsid w:val="00902C72"/>
    <w:rsid w:val="009049FC"/>
    <w:rsid w:val="00905987"/>
    <w:rsid w:val="00910AA9"/>
    <w:rsid w:val="00913222"/>
    <w:rsid w:val="00921A94"/>
    <w:rsid w:val="00922290"/>
    <w:rsid w:val="00923996"/>
    <w:rsid w:val="009277CC"/>
    <w:rsid w:val="00930FF3"/>
    <w:rsid w:val="00931424"/>
    <w:rsid w:val="009328FC"/>
    <w:rsid w:val="009334EE"/>
    <w:rsid w:val="00937504"/>
    <w:rsid w:val="00937E26"/>
    <w:rsid w:val="0094097B"/>
    <w:rsid w:val="00940B99"/>
    <w:rsid w:val="00940D20"/>
    <w:rsid w:val="00940D37"/>
    <w:rsid w:val="00943820"/>
    <w:rsid w:val="00945844"/>
    <w:rsid w:val="009465D6"/>
    <w:rsid w:val="009472BC"/>
    <w:rsid w:val="00950003"/>
    <w:rsid w:val="009514FC"/>
    <w:rsid w:val="00952267"/>
    <w:rsid w:val="0095229A"/>
    <w:rsid w:val="00952C70"/>
    <w:rsid w:val="00953B34"/>
    <w:rsid w:val="00953B44"/>
    <w:rsid w:val="00954111"/>
    <w:rsid w:val="00954285"/>
    <w:rsid w:val="009561AB"/>
    <w:rsid w:val="009569A3"/>
    <w:rsid w:val="00957607"/>
    <w:rsid w:val="00960A92"/>
    <w:rsid w:val="00960D49"/>
    <w:rsid w:val="009617A8"/>
    <w:rsid w:val="00962819"/>
    <w:rsid w:val="00963C81"/>
    <w:rsid w:val="009658D8"/>
    <w:rsid w:val="00966B80"/>
    <w:rsid w:val="00966F3A"/>
    <w:rsid w:val="009677AC"/>
    <w:rsid w:val="00967A30"/>
    <w:rsid w:val="00967EB7"/>
    <w:rsid w:val="00970ED7"/>
    <w:rsid w:val="00975798"/>
    <w:rsid w:val="009759DC"/>
    <w:rsid w:val="009765AA"/>
    <w:rsid w:val="0098260E"/>
    <w:rsid w:val="0098337F"/>
    <w:rsid w:val="0098487B"/>
    <w:rsid w:val="009852AE"/>
    <w:rsid w:val="00992185"/>
    <w:rsid w:val="0099435D"/>
    <w:rsid w:val="00994E62"/>
    <w:rsid w:val="00994EE5"/>
    <w:rsid w:val="00994FDE"/>
    <w:rsid w:val="00995EF5"/>
    <w:rsid w:val="009A15C9"/>
    <w:rsid w:val="009A6B2F"/>
    <w:rsid w:val="009A7C34"/>
    <w:rsid w:val="009A7C54"/>
    <w:rsid w:val="009B230A"/>
    <w:rsid w:val="009B2A93"/>
    <w:rsid w:val="009B4670"/>
    <w:rsid w:val="009B48FD"/>
    <w:rsid w:val="009B4F73"/>
    <w:rsid w:val="009C0783"/>
    <w:rsid w:val="009C1E2D"/>
    <w:rsid w:val="009C2350"/>
    <w:rsid w:val="009C315C"/>
    <w:rsid w:val="009C3564"/>
    <w:rsid w:val="009C5898"/>
    <w:rsid w:val="009C5C77"/>
    <w:rsid w:val="009C67DC"/>
    <w:rsid w:val="009D257F"/>
    <w:rsid w:val="009D299E"/>
    <w:rsid w:val="009D349F"/>
    <w:rsid w:val="009D3B8F"/>
    <w:rsid w:val="009D417C"/>
    <w:rsid w:val="009D57D9"/>
    <w:rsid w:val="009D5995"/>
    <w:rsid w:val="009D6408"/>
    <w:rsid w:val="009D79D5"/>
    <w:rsid w:val="009D7EE3"/>
    <w:rsid w:val="009E18D5"/>
    <w:rsid w:val="009E1C75"/>
    <w:rsid w:val="009E276D"/>
    <w:rsid w:val="009E2FB2"/>
    <w:rsid w:val="009E3DB7"/>
    <w:rsid w:val="009E4AAE"/>
    <w:rsid w:val="009E5087"/>
    <w:rsid w:val="009E6AD8"/>
    <w:rsid w:val="009E70FF"/>
    <w:rsid w:val="009E730E"/>
    <w:rsid w:val="009E7785"/>
    <w:rsid w:val="009F02CE"/>
    <w:rsid w:val="009F037D"/>
    <w:rsid w:val="009F25F4"/>
    <w:rsid w:val="009F2BC5"/>
    <w:rsid w:val="009F2E99"/>
    <w:rsid w:val="009F57E4"/>
    <w:rsid w:val="009F755D"/>
    <w:rsid w:val="00A01CE1"/>
    <w:rsid w:val="00A0347A"/>
    <w:rsid w:val="00A05159"/>
    <w:rsid w:val="00A07559"/>
    <w:rsid w:val="00A10074"/>
    <w:rsid w:val="00A135F0"/>
    <w:rsid w:val="00A17F9B"/>
    <w:rsid w:val="00A21012"/>
    <w:rsid w:val="00A21327"/>
    <w:rsid w:val="00A232D7"/>
    <w:rsid w:val="00A2343A"/>
    <w:rsid w:val="00A24B2C"/>
    <w:rsid w:val="00A25001"/>
    <w:rsid w:val="00A26360"/>
    <w:rsid w:val="00A27C90"/>
    <w:rsid w:val="00A30C68"/>
    <w:rsid w:val="00A314F8"/>
    <w:rsid w:val="00A321C0"/>
    <w:rsid w:val="00A35021"/>
    <w:rsid w:val="00A358FF"/>
    <w:rsid w:val="00A36A94"/>
    <w:rsid w:val="00A36D02"/>
    <w:rsid w:val="00A37A1D"/>
    <w:rsid w:val="00A4073F"/>
    <w:rsid w:val="00A43DC4"/>
    <w:rsid w:val="00A46551"/>
    <w:rsid w:val="00A46BDB"/>
    <w:rsid w:val="00A47B08"/>
    <w:rsid w:val="00A47E09"/>
    <w:rsid w:val="00A54020"/>
    <w:rsid w:val="00A54CC4"/>
    <w:rsid w:val="00A6115D"/>
    <w:rsid w:val="00A63C62"/>
    <w:rsid w:val="00A67740"/>
    <w:rsid w:val="00A67A28"/>
    <w:rsid w:val="00A67A7B"/>
    <w:rsid w:val="00A67F29"/>
    <w:rsid w:val="00A7062C"/>
    <w:rsid w:val="00A712E0"/>
    <w:rsid w:val="00A73946"/>
    <w:rsid w:val="00A753E9"/>
    <w:rsid w:val="00A75C54"/>
    <w:rsid w:val="00A82067"/>
    <w:rsid w:val="00A82752"/>
    <w:rsid w:val="00A84531"/>
    <w:rsid w:val="00A864CF"/>
    <w:rsid w:val="00A90AE9"/>
    <w:rsid w:val="00A90E4D"/>
    <w:rsid w:val="00A91224"/>
    <w:rsid w:val="00A97726"/>
    <w:rsid w:val="00A97894"/>
    <w:rsid w:val="00AA05C3"/>
    <w:rsid w:val="00AA750D"/>
    <w:rsid w:val="00AA773E"/>
    <w:rsid w:val="00AB117A"/>
    <w:rsid w:val="00AB135A"/>
    <w:rsid w:val="00AB1B3A"/>
    <w:rsid w:val="00AB3A2E"/>
    <w:rsid w:val="00AB4320"/>
    <w:rsid w:val="00AB54DF"/>
    <w:rsid w:val="00AB6A9D"/>
    <w:rsid w:val="00AC0826"/>
    <w:rsid w:val="00AC233A"/>
    <w:rsid w:val="00AC2EF3"/>
    <w:rsid w:val="00AC3891"/>
    <w:rsid w:val="00AC4153"/>
    <w:rsid w:val="00AC5495"/>
    <w:rsid w:val="00AC5FDF"/>
    <w:rsid w:val="00AC6371"/>
    <w:rsid w:val="00AD03B7"/>
    <w:rsid w:val="00AD20D9"/>
    <w:rsid w:val="00AD34BF"/>
    <w:rsid w:val="00AD474A"/>
    <w:rsid w:val="00AD49CC"/>
    <w:rsid w:val="00AD5C47"/>
    <w:rsid w:val="00AE27AE"/>
    <w:rsid w:val="00AE31F5"/>
    <w:rsid w:val="00AE3FF3"/>
    <w:rsid w:val="00AE55F4"/>
    <w:rsid w:val="00AE63AA"/>
    <w:rsid w:val="00AE7BB0"/>
    <w:rsid w:val="00AF35E7"/>
    <w:rsid w:val="00AF395E"/>
    <w:rsid w:val="00AF4BEC"/>
    <w:rsid w:val="00AF5B5C"/>
    <w:rsid w:val="00AF6094"/>
    <w:rsid w:val="00AF60FC"/>
    <w:rsid w:val="00AF6E26"/>
    <w:rsid w:val="00B00394"/>
    <w:rsid w:val="00B0095B"/>
    <w:rsid w:val="00B01415"/>
    <w:rsid w:val="00B01B11"/>
    <w:rsid w:val="00B0270A"/>
    <w:rsid w:val="00B03317"/>
    <w:rsid w:val="00B04BB3"/>
    <w:rsid w:val="00B05D01"/>
    <w:rsid w:val="00B06026"/>
    <w:rsid w:val="00B0675D"/>
    <w:rsid w:val="00B075D9"/>
    <w:rsid w:val="00B1253D"/>
    <w:rsid w:val="00B13AC2"/>
    <w:rsid w:val="00B14327"/>
    <w:rsid w:val="00B20295"/>
    <w:rsid w:val="00B20F56"/>
    <w:rsid w:val="00B22421"/>
    <w:rsid w:val="00B225BC"/>
    <w:rsid w:val="00B22F19"/>
    <w:rsid w:val="00B23C36"/>
    <w:rsid w:val="00B24838"/>
    <w:rsid w:val="00B24DED"/>
    <w:rsid w:val="00B25A99"/>
    <w:rsid w:val="00B25DF9"/>
    <w:rsid w:val="00B26BD2"/>
    <w:rsid w:val="00B274F3"/>
    <w:rsid w:val="00B30C28"/>
    <w:rsid w:val="00B32C29"/>
    <w:rsid w:val="00B35EA5"/>
    <w:rsid w:val="00B369FA"/>
    <w:rsid w:val="00B376F3"/>
    <w:rsid w:val="00B410C1"/>
    <w:rsid w:val="00B412B5"/>
    <w:rsid w:val="00B42489"/>
    <w:rsid w:val="00B43895"/>
    <w:rsid w:val="00B45B83"/>
    <w:rsid w:val="00B463A5"/>
    <w:rsid w:val="00B47207"/>
    <w:rsid w:val="00B4781D"/>
    <w:rsid w:val="00B51358"/>
    <w:rsid w:val="00B52845"/>
    <w:rsid w:val="00B53E98"/>
    <w:rsid w:val="00B544F6"/>
    <w:rsid w:val="00B54D6F"/>
    <w:rsid w:val="00B55F0F"/>
    <w:rsid w:val="00B5740D"/>
    <w:rsid w:val="00B57680"/>
    <w:rsid w:val="00B57CAE"/>
    <w:rsid w:val="00B62866"/>
    <w:rsid w:val="00B629B1"/>
    <w:rsid w:val="00B64E6E"/>
    <w:rsid w:val="00B6531B"/>
    <w:rsid w:val="00B65B0A"/>
    <w:rsid w:val="00B65D30"/>
    <w:rsid w:val="00B66147"/>
    <w:rsid w:val="00B67A95"/>
    <w:rsid w:val="00B70002"/>
    <w:rsid w:val="00B70CDC"/>
    <w:rsid w:val="00B70F70"/>
    <w:rsid w:val="00B72DBE"/>
    <w:rsid w:val="00B73826"/>
    <w:rsid w:val="00B747DA"/>
    <w:rsid w:val="00B74B10"/>
    <w:rsid w:val="00B74EBD"/>
    <w:rsid w:val="00B75E13"/>
    <w:rsid w:val="00B8274E"/>
    <w:rsid w:val="00B8302B"/>
    <w:rsid w:val="00B83529"/>
    <w:rsid w:val="00B83692"/>
    <w:rsid w:val="00B847FD"/>
    <w:rsid w:val="00B84993"/>
    <w:rsid w:val="00B85E25"/>
    <w:rsid w:val="00B87569"/>
    <w:rsid w:val="00B8776B"/>
    <w:rsid w:val="00B87B4A"/>
    <w:rsid w:val="00B93167"/>
    <w:rsid w:val="00B9387B"/>
    <w:rsid w:val="00B945D4"/>
    <w:rsid w:val="00B95EA0"/>
    <w:rsid w:val="00BA0468"/>
    <w:rsid w:val="00BA1731"/>
    <w:rsid w:val="00BA1E0F"/>
    <w:rsid w:val="00BA4BAC"/>
    <w:rsid w:val="00BA51E0"/>
    <w:rsid w:val="00BA7384"/>
    <w:rsid w:val="00BB00E5"/>
    <w:rsid w:val="00BB0CA5"/>
    <w:rsid w:val="00BB1D61"/>
    <w:rsid w:val="00BB2B52"/>
    <w:rsid w:val="00BB4516"/>
    <w:rsid w:val="00BB478C"/>
    <w:rsid w:val="00BB6427"/>
    <w:rsid w:val="00BC05DF"/>
    <w:rsid w:val="00BC0987"/>
    <w:rsid w:val="00BC1413"/>
    <w:rsid w:val="00BC1703"/>
    <w:rsid w:val="00BC1C2A"/>
    <w:rsid w:val="00BC2451"/>
    <w:rsid w:val="00BC2C6F"/>
    <w:rsid w:val="00BC2F94"/>
    <w:rsid w:val="00BC3133"/>
    <w:rsid w:val="00BC4756"/>
    <w:rsid w:val="00BC48A7"/>
    <w:rsid w:val="00BC4F3A"/>
    <w:rsid w:val="00BC5EF3"/>
    <w:rsid w:val="00BC72AE"/>
    <w:rsid w:val="00BC7782"/>
    <w:rsid w:val="00BC78CD"/>
    <w:rsid w:val="00BD070B"/>
    <w:rsid w:val="00BD0D16"/>
    <w:rsid w:val="00BD1A76"/>
    <w:rsid w:val="00BD39B3"/>
    <w:rsid w:val="00BD609E"/>
    <w:rsid w:val="00BD6D40"/>
    <w:rsid w:val="00BE1E1D"/>
    <w:rsid w:val="00BE291E"/>
    <w:rsid w:val="00BE7ECF"/>
    <w:rsid w:val="00BF0E2B"/>
    <w:rsid w:val="00BF1271"/>
    <w:rsid w:val="00BF1BB7"/>
    <w:rsid w:val="00BF1E87"/>
    <w:rsid w:val="00BF28B0"/>
    <w:rsid w:val="00BF2A5E"/>
    <w:rsid w:val="00BF3FE6"/>
    <w:rsid w:val="00BF7AD9"/>
    <w:rsid w:val="00C004B3"/>
    <w:rsid w:val="00C005C1"/>
    <w:rsid w:val="00C00E46"/>
    <w:rsid w:val="00C013CA"/>
    <w:rsid w:val="00C020C5"/>
    <w:rsid w:val="00C02889"/>
    <w:rsid w:val="00C06AB8"/>
    <w:rsid w:val="00C101F2"/>
    <w:rsid w:val="00C11B30"/>
    <w:rsid w:val="00C11EE6"/>
    <w:rsid w:val="00C1365D"/>
    <w:rsid w:val="00C1447C"/>
    <w:rsid w:val="00C17EFF"/>
    <w:rsid w:val="00C2018A"/>
    <w:rsid w:val="00C20C4D"/>
    <w:rsid w:val="00C20FE6"/>
    <w:rsid w:val="00C22645"/>
    <w:rsid w:val="00C22C3B"/>
    <w:rsid w:val="00C233E1"/>
    <w:rsid w:val="00C2355F"/>
    <w:rsid w:val="00C23CD7"/>
    <w:rsid w:val="00C254E7"/>
    <w:rsid w:val="00C25920"/>
    <w:rsid w:val="00C26A45"/>
    <w:rsid w:val="00C308DC"/>
    <w:rsid w:val="00C31181"/>
    <w:rsid w:val="00C342E5"/>
    <w:rsid w:val="00C34FB7"/>
    <w:rsid w:val="00C3684D"/>
    <w:rsid w:val="00C4077A"/>
    <w:rsid w:val="00C409A2"/>
    <w:rsid w:val="00C422BA"/>
    <w:rsid w:val="00C43931"/>
    <w:rsid w:val="00C439A3"/>
    <w:rsid w:val="00C50398"/>
    <w:rsid w:val="00C505E4"/>
    <w:rsid w:val="00C5263A"/>
    <w:rsid w:val="00C546A6"/>
    <w:rsid w:val="00C556FD"/>
    <w:rsid w:val="00C60C96"/>
    <w:rsid w:val="00C629A5"/>
    <w:rsid w:val="00C638E7"/>
    <w:rsid w:val="00C63994"/>
    <w:rsid w:val="00C63EB2"/>
    <w:rsid w:val="00C64344"/>
    <w:rsid w:val="00C64547"/>
    <w:rsid w:val="00C64ECC"/>
    <w:rsid w:val="00C6698C"/>
    <w:rsid w:val="00C70A72"/>
    <w:rsid w:val="00C715D6"/>
    <w:rsid w:val="00C722D2"/>
    <w:rsid w:val="00C74982"/>
    <w:rsid w:val="00C75BBB"/>
    <w:rsid w:val="00C77DA4"/>
    <w:rsid w:val="00C80C33"/>
    <w:rsid w:val="00C83D21"/>
    <w:rsid w:val="00C86A21"/>
    <w:rsid w:val="00C90998"/>
    <w:rsid w:val="00C90B47"/>
    <w:rsid w:val="00C936AD"/>
    <w:rsid w:val="00C951A4"/>
    <w:rsid w:val="00CA3B96"/>
    <w:rsid w:val="00CA4178"/>
    <w:rsid w:val="00CA4A49"/>
    <w:rsid w:val="00CA4C97"/>
    <w:rsid w:val="00CA634C"/>
    <w:rsid w:val="00CA73F8"/>
    <w:rsid w:val="00CA7A08"/>
    <w:rsid w:val="00CB0FEB"/>
    <w:rsid w:val="00CB14E9"/>
    <w:rsid w:val="00CB16C9"/>
    <w:rsid w:val="00CB174A"/>
    <w:rsid w:val="00CB290D"/>
    <w:rsid w:val="00CB2A8B"/>
    <w:rsid w:val="00CB35AE"/>
    <w:rsid w:val="00CB389A"/>
    <w:rsid w:val="00CB3E3A"/>
    <w:rsid w:val="00CB476B"/>
    <w:rsid w:val="00CB67B2"/>
    <w:rsid w:val="00CB7D19"/>
    <w:rsid w:val="00CC0465"/>
    <w:rsid w:val="00CC0659"/>
    <w:rsid w:val="00CC0C46"/>
    <w:rsid w:val="00CC20AD"/>
    <w:rsid w:val="00CC2207"/>
    <w:rsid w:val="00CC7556"/>
    <w:rsid w:val="00CC75F3"/>
    <w:rsid w:val="00CC76D7"/>
    <w:rsid w:val="00CD05F1"/>
    <w:rsid w:val="00CD35E7"/>
    <w:rsid w:val="00CD38E4"/>
    <w:rsid w:val="00CD5284"/>
    <w:rsid w:val="00CD5976"/>
    <w:rsid w:val="00CE0853"/>
    <w:rsid w:val="00CE17B7"/>
    <w:rsid w:val="00CE2866"/>
    <w:rsid w:val="00CE3A00"/>
    <w:rsid w:val="00CE7B15"/>
    <w:rsid w:val="00CF179D"/>
    <w:rsid w:val="00CF2F6A"/>
    <w:rsid w:val="00CF4888"/>
    <w:rsid w:val="00CF4D34"/>
    <w:rsid w:val="00CF6736"/>
    <w:rsid w:val="00CF73AE"/>
    <w:rsid w:val="00D000DE"/>
    <w:rsid w:val="00D01398"/>
    <w:rsid w:val="00D05BC3"/>
    <w:rsid w:val="00D061F3"/>
    <w:rsid w:val="00D06856"/>
    <w:rsid w:val="00D06870"/>
    <w:rsid w:val="00D10C87"/>
    <w:rsid w:val="00D11125"/>
    <w:rsid w:val="00D1149F"/>
    <w:rsid w:val="00D13655"/>
    <w:rsid w:val="00D14C6E"/>
    <w:rsid w:val="00D15937"/>
    <w:rsid w:val="00D17A56"/>
    <w:rsid w:val="00D214FA"/>
    <w:rsid w:val="00D22591"/>
    <w:rsid w:val="00D228A6"/>
    <w:rsid w:val="00D22B0D"/>
    <w:rsid w:val="00D2332C"/>
    <w:rsid w:val="00D23507"/>
    <w:rsid w:val="00D23762"/>
    <w:rsid w:val="00D30B20"/>
    <w:rsid w:val="00D31F31"/>
    <w:rsid w:val="00D32688"/>
    <w:rsid w:val="00D36C7E"/>
    <w:rsid w:val="00D4211C"/>
    <w:rsid w:val="00D423A6"/>
    <w:rsid w:val="00D438CF"/>
    <w:rsid w:val="00D45262"/>
    <w:rsid w:val="00D457BD"/>
    <w:rsid w:val="00D467B0"/>
    <w:rsid w:val="00D51DA4"/>
    <w:rsid w:val="00D5307F"/>
    <w:rsid w:val="00D54BDE"/>
    <w:rsid w:val="00D54FAB"/>
    <w:rsid w:val="00D54FB7"/>
    <w:rsid w:val="00D5637F"/>
    <w:rsid w:val="00D567F2"/>
    <w:rsid w:val="00D570DE"/>
    <w:rsid w:val="00D61044"/>
    <w:rsid w:val="00D6163D"/>
    <w:rsid w:val="00D62CD7"/>
    <w:rsid w:val="00D62D5E"/>
    <w:rsid w:val="00D63412"/>
    <w:rsid w:val="00D63577"/>
    <w:rsid w:val="00D637F4"/>
    <w:rsid w:val="00D63E04"/>
    <w:rsid w:val="00D640A8"/>
    <w:rsid w:val="00D64109"/>
    <w:rsid w:val="00D64D34"/>
    <w:rsid w:val="00D64E06"/>
    <w:rsid w:val="00D65538"/>
    <w:rsid w:val="00D65E29"/>
    <w:rsid w:val="00D66E1B"/>
    <w:rsid w:val="00D701FB"/>
    <w:rsid w:val="00D70977"/>
    <w:rsid w:val="00D7332C"/>
    <w:rsid w:val="00D7348A"/>
    <w:rsid w:val="00D76604"/>
    <w:rsid w:val="00D766CC"/>
    <w:rsid w:val="00D76C97"/>
    <w:rsid w:val="00D7708A"/>
    <w:rsid w:val="00D77EDA"/>
    <w:rsid w:val="00D81B51"/>
    <w:rsid w:val="00D83CCD"/>
    <w:rsid w:val="00D85BB8"/>
    <w:rsid w:val="00D86922"/>
    <w:rsid w:val="00D921AF"/>
    <w:rsid w:val="00D92A01"/>
    <w:rsid w:val="00D930F2"/>
    <w:rsid w:val="00D9350B"/>
    <w:rsid w:val="00D97DB8"/>
    <w:rsid w:val="00DA1658"/>
    <w:rsid w:val="00DA1B52"/>
    <w:rsid w:val="00DA2592"/>
    <w:rsid w:val="00DA3E6A"/>
    <w:rsid w:val="00DA5549"/>
    <w:rsid w:val="00DA63F1"/>
    <w:rsid w:val="00DA70DA"/>
    <w:rsid w:val="00DB1B98"/>
    <w:rsid w:val="00DB31EE"/>
    <w:rsid w:val="00DB334A"/>
    <w:rsid w:val="00DB38A1"/>
    <w:rsid w:val="00DB5FB3"/>
    <w:rsid w:val="00DB7328"/>
    <w:rsid w:val="00DC1605"/>
    <w:rsid w:val="00DC1AA8"/>
    <w:rsid w:val="00DC209E"/>
    <w:rsid w:val="00DC212B"/>
    <w:rsid w:val="00DC31AF"/>
    <w:rsid w:val="00DC5DD8"/>
    <w:rsid w:val="00DC7292"/>
    <w:rsid w:val="00DD0648"/>
    <w:rsid w:val="00DD33E4"/>
    <w:rsid w:val="00DD3D92"/>
    <w:rsid w:val="00DD5CB2"/>
    <w:rsid w:val="00DD7260"/>
    <w:rsid w:val="00DE0D51"/>
    <w:rsid w:val="00DE1F8F"/>
    <w:rsid w:val="00DE2666"/>
    <w:rsid w:val="00DE50A0"/>
    <w:rsid w:val="00DE5A95"/>
    <w:rsid w:val="00DE67CA"/>
    <w:rsid w:val="00DF10E7"/>
    <w:rsid w:val="00DF2D4E"/>
    <w:rsid w:val="00DF3C91"/>
    <w:rsid w:val="00DF3DB4"/>
    <w:rsid w:val="00DF4D08"/>
    <w:rsid w:val="00DF63B1"/>
    <w:rsid w:val="00DF6E96"/>
    <w:rsid w:val="00DF76BA"/>
    <w:rsid w:val="00E055A5"/>
    <w:rsid w:val="00E06FE3"/>
    <w:rsid w:val="00E0759C"/>
    <w:rsid w:val="00E07D9F"/>
    <w:rsid w:val="00E105E6"/>
    <w:rsid w:val="00E1167F"/>
    <w:rsid w:val="00E126FF"/>
    <w:rsid w:val="00E1327D"/>
    <w:rsid w:val="00E132E5"/>
    <w:rsid w:val="00E139D6"/>
    <w:rsid w:val="00E13A73"/>
    <w:rsid w:val="00E13FD9"/>
    <w:rsid w:val="00E1568B"/>
    <w:rsid w:val="00E16852"/>
    <w:rsid w:val="00E16CD9"/>
    <w:rsid w:val="00E178DF"/>
    <w:rsid w:val="00E2380C"/>
    <w:rsid w:val="00E25088"/>
    <w:rsid w:val="00E2527C"/>
    <w:rsid w:val="00E35CA2"/>
    <w:rsid w:val="00E361A9"/>
    <w:rsid w:val="00E376F8"/>
    <w:rsid w:val="00E37C1E"/>
    <w:rsid w:val="00E37E97"/>
    <w:rsid w:val="00E412D0"/>
    <w:rsid w:val="00E41377"/>
    <w:rsid w:val="00E41999"/>
    <w:rsid w:val="00E42271"/>
    <w:rsid w:val="00E439A0"/>
    <w:rsid w:val="00E45ACC"/>
    <w:rsid w:val="00E47C21"/>
    <w:rsid w:val="00E50F3F"/>
    <w:rsid w:val="00E53963"/>
    <w:rsid w:val="00E55153"/>
    <w:rsid w:val="00E55BEF"/>
    <w:rsid w:val="00E5698B"/>
    <w:rsid w:val="00E57FF2"/>
    <w:rsid w:val="00E61B03"/>
    <w:rsid w:val="00E61FF2"/>
    <w:rsid w:val="00E64EF6"/>
    <w:rsid w:val="00E66135"/>
    <w:rsid w:val="00E67DC7"/>
    <w:rsid w:val="00E712B4"/>
    <w:rsid w:val="00E7234E"/>
    <w:rsid w:val="00E73398"/>
    <w:rsid w:val="00E73B9A"/>
    <w:rsid w:val="00E7568B"/>
    <w:rsid w:val="00E75B0C"/>
    <w:rsid w:val="00E82B78"/>
    <w:rsid w:val="00E84480"/>
    <w:rsid w:val="00E85BA1"/>
    <w:rsid w:val="00E85EC0"/>
    <w:rsid w:val="00E85F97"/>
    <w:rsid w:val="00E86927"/>
    <w:rsid w:val="00E87938"/>
    <w:rsid w:val="00E90666"/>
    <w:rsid w:val="00E92153"/>
    <w:rsid w:val="00E94271"/>
    <w:rsid w:val="00E947C7"/>
    <w:rsid w:val="00E94F87"/>
    <w:rsid w:val="00E95AC6"/>
    <w:rsid w:val="00E9665A"/>
    <w:rsid w:val="00EA0328"/>
    <w:rsid w:val="00EA19BA"/>
    <w:rsid w:val="00EA3504"/>
    <w:rsid w:val="00EA51ED"/>
    <w:rsid w:val="00EA6099"/>
    <w:rsid w:val="00EA622E"/>
    <w:rsid w:val="00EB03AA"/>
    <w:rsid w:val="00EB218B"/>
    <w:rsid w:val="00EB39B5"/>
    <w:rsid w:val="00EB3FF2"/>
    <w:rsid w:val="00EB4FD1"/>
    <w:rsid w:val="00EB6D29"/>
    <w:rsid w:val="00EC20C1"/>
    <w:rsid w:val="00EC57AA"/>
    <w:rsid w:val="00EC67CE"/>
    <w:rsid w:val="00EC73BF"/>
    <w:rsid w:val="00ED164F"/>
    <w:rsid w:val="00ED385C"/>
    <w:rsid w:val="00ED78DE"/>
    <w:rsid w:val="00EE14FC"/>
    <w:rsid w:val="00EE1E97"/>
    <w:rsid w:val="00EE2018"/>
    <w:rsid w:val="00EE28FC"/>
    <w:rsid w:val="00EE2CB5"/>
    <w:rsid w:val="00EE302D"/>
    <w:rsid w:val="00EE49B2"/>
    <w:rsid w:val="00EE562E"/>
    <w:rsid w:val="00EE6499"/>
    <w:rsid w:val="00EE697A"/>
    <w:rsid w:val="00EE7F30"/>
    <w:rsid w:val="00EF1EE7"/>
    <w:rsid w:val="00EF364B"/>
    <w:rsid w:val="00EF3812"/>
    <w:rsid w:val="00EF738B"/>
    <w:rsid w:val="00EF7730"/>
    <w:rsid w:val="00F00001"/>
    <w:rsid w:val="00F012BE"/>
    <w:rsid w:val="00F0159D"/>
    <w:rsid w:val="00F03824"/>
    <w:rsid w:val="00F03D10"/>
    <w:rsid w:val="00F05DF0"/>
    <w:rsid w:val="00F070BA"/>
    <w:rsid w:val="00F10946"/>
    <w:rsid w:val="00F11074"/>
    <w:rsid w:val="00F11796"/>
    <w:rsid w:val="00F1186F"/>
    <w:rsid w:val="00F12152"/>
    <w:rsid w:val="00F121C5"/>
    <w:rsid w:val="00F12425"/>
    <w:rsid w:val="00F12C27"/>
    <w:rsid w:val="00F13732"/>
    <w:rsid w:val="00F14621"/>
    <w:rsid w:val="00F16B26"/>
    <w:rsid w:val="00F2034F"/>
    <w:rsid w:val="00F20D9B"/>
    <w:rsid w:val="00F21140"/>
    <w:rsid w:val="00F21352"/>
    <w:rsid w:val="00F23988"/>
    <w:rsid w:val="00F23AB4"/>
    <w:rsid w:val="00F23E3C"/>
    <w:rsid w:val="00F240A9"/>
    <w:rsid w:val="00F24F85"/>
    <w:rsid w:val="00F27604"/>
    <w:rsid w:val="00F27E84"/>
    <w:rsid w:val="00F30876"/>
    <w:rsid w:val="00F33620"/>
    <w:rsid w:val="00F337A5"/>
    <w:rsid w:val="00F33AE2"/>
    <w:rsid w:val="00F3410D"/>
    <w:rsid w:val="00F349D4"/>
    <w:rsid w:val="00F360CF"/>
    <w:rsid w:val="00F401A1"/>
    <w:rsid w:val="00F40427"/>
    <w:rsid w:val="00F420D3"/>
    <w:rsid w:val="00F42E0D"/>
    <w:rsid w:val="00F43460"/>
    <w:rsid w:val="00F46E9D"/>
    <w:rsid w:val="00F52A60"/>
    <w:rsid w:val="00F55C0E"/>
    <w:rsid w:val="00F5637C"/>
    <w:rsid w:val="00F57205"/>
    <w:rsid w:val="00F6061C"/>
    <w:rsid w:val="00F62DC1"/>
    <w:rsid w:val="00F63041"/>
    <w:rsid w:val="00F6541E"/>
    <w:rsid w:val="00F66186"/>
    <w:rsid w:val="00F67752"/>
    <w:rsid w:val="00F67C40"/>
    <w:rsid w:val="00F703E1"/>
    <w:rsid w:val="00F71DE0"/>
    <w:rsid w:val="00F72421"/>
    <w:rsid w:val="00F72619"/>
    <w:rsid w:val="00F727D3"/>
    <w:rsid w:val="00F74381"/>
    <w:rsid w:val="00F74CAE"/>
    <w:rsid w:val="00F7537F"/>
    <w:rsid w:val="00F7578A"/>
    <w:rsid w:val="00F76C01"/>
    <w:rsid w:val="00F8014D"/>
    <w:rsid w:val="00F80AA0"/>
    <w:rsid w:val="00F830F2"/>
    <w:rsid w:val="00F83D34"/>
    <w:rsid w:val="00F8404A"/>
    <w:rsid w:val="00F84124"/>
    <w:rsid w:val="00F8428A"/>
    <w:rsid w:val="00F85C1C"/>
    <w:rsid w:val="00F86902"/>
    <w:rsid w:val="00F90E4A"/>
    <w:rsid w:val="00F92CFC"/>
    <w:rsid w:val="00F936BB"/>
    <w:rsid w:val="00F936F4"/>
    <w:rsid w:val="00F954E5"/>
    <w:rsid w:val="00F95C83"/>
    <w:rsid w:val="00F97630"/>
    <w:rsid w:val="00FA1ADB"/>
    <w:rsid w:val="00FA1E5D"/>
    <w:rsid w:val="00FA1EFF"/>
    <w:rsid w:val="00FA220E"/>
    <w:rsid w:val="00FA3CAC"/>
    <w:rsid w:val="00FA4301"/>
    <w:rsid w:val="00FA5D5F"/>
    <w:rsid w:val="00FA691C"/>
    <w:rsid w:val="00FA7459"/>
    <w:rsid w:val="00FB0218"/>
    <w:rsid w:val="00FB40F6"/>
    <w:rsid w:val="00FB627E"/>
    <w:rsid w:val="00FB69C5"/>
    <w:rsid w:val="00FB6BFA"/>
    <w:rsid w:val="00FB6D0C"/>
    <w:rsid w:val="00FB76F5"/>
    <w:rsid w:val="00FC76BC"/>
    <w:rsid w:val="00FD0EED"/>
    <w:rsid w:val="00FD2558"/>
    <w:rsid w:val="00FD2A12"/>
    <w:rsid w:val="00FD33F0"/>
    <w:rsid w:val="00FD40BF"/>
    <w:rsid w:val="00FD476C"/>
    <w:rsid w:val="00FD52A4"/>
    <w:rsid w:val="00FD5F95"/>
    <w:rsid w:val="00FD6FEB"/>
    <w:rsid w:val="00FD7A52"/>
    <w:rsid w:val="00FD7C87"/>
    <w:rsid w:val="00FE061E"/>
    <w:rsid w:val="00FE119C"/>
    <w:rsid w:val="00FE14E3"/>
    <w:rsid w:val="00FE3B7A"/>
    <w:rsid w:val="00FE4DDF"/>
    <w:rsid w:val="00FE535E"/>
    <w:rsid w:val="00FE5DFB"/>
    <w:rsid w:val="00FE64D3"/>
    <w:rsid w:val="00FF07BB"/>
    <w:rsid w:val="00FF0C5B"/>
    <w:rsid w:val="00FF0D6A"/>
    <w:rsid w:val="00FF57DE"/>
    <w:rsid w:val="00FF6A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060A8"/>
  <w15:chartTrackingRefBased/>
  <w15:docId w15:val="{2DC7107E-9CAB-4851-A1B3-6E05B8BA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basedOn w:val="DefaultParagraphFont"/>
    <w:uiPriority w:val="99"/>
    <w:unhideWhenUsed/>
    <w:rsid w:val="004128DF"/>
    <w:rPr>
      <w:color w:val="0000FF"/>
      <w:u w:val="single"/>
    </w:rPr>
  </w:style>
  <w:style w:type="paragraph" w:styleId="ListParagraph">
    <w:name w:val="List Paragraph"/>
    <w:basedOn w:val="Normal"/>
    <w:uiPriority w:val="34"/>
    <w:qFormat/>
    <w:rsid w:val="000706E9"/>
    <w:pPr>
      <w:ind w:left="720"/>
      <w:contextualSpacing/>
    </w:pPr>
  </w:style>
  <w:style w:type="character" w:styleId="CommentReference">
    <w:name w:val="annotation reference"/>
    <w:basedOn w:val="DefaultParagraphFont"/>
    <w:rsid w:val="002D0771"/>
    <w:rPr>
      <w:sz w:val="16"/>
      <w:szCs w:val="16"/>
    </w:rPr>
  </w:style>
  <w:style w:type="paragraph" w:styleId="CommentText">
    <w:name w:val="annotation text"/>
    <w:basedOn w:val="Normal"/>
    <w:link w:val="CommentTextChar"/>
    <w:rsid w:val="002D0771"/>
    <w:rPr>
      <w:sz w:val="20"/>
      <w:szCs w:val="20"/>
    </w:rPr>
  </w:style>
  <w:style w:type="character" w:customStyle="1" w:styleId="CommentTextChar">
    <w:name w:val="Comment Text Char"/>
    <w:basedOn w:val="DefaultParagraphFont"/>
    <w:link w:val="CommentText"/>
    <w:rsid w:val="002D0771"/>
    <w:rPr>
      <w:lang w:eastAsia="en-US"/>
    </w:rPr>
  </w:style>
  <w:style w:type="paragraph" w:styleId="CommentSubject">
    <w:name w:val="annotation subject"/>
    <w:basedOn w:val="CommentText"/>
    <w:next w:val="CommentText"/>
    <w:link w:val="CommentSubjectChar"/>
    <w:rsid w:val="002D0771"/>
    <w:rPr>
      <w:b/>
      <w:bCs/>
    </w:rPr>
  </w:style>
  <w:style w:type="character" w:customStyle="1" w:styleId="CommentSubjectChar">
    <w:name w:val="Comment Subject Char"/>
    <w:basedOn w:val="CommentTextChar"/>
    <w:link w:val="CommentSubject"/>
    <w:rsid w:val="002D0771"/>
    <w:rPr>
      <w:b/>
      <w:bCs/>
      <w:lang w:eastAsia="en-US"/>
    </w:rPr>
  </w:style>
  <w:style w:type="paragraph" w:styleId="BalloonText">
    <w:name w:val="Balloon Text"/>
    <w:basedOn w:val="Normal"/>
    <w:link w:val="BalloonTextChar"/>
    <w:semiHidden/>
    <w:unhideWhenUsed/>
    <w:rsid w:val="001E109C"/>
    <w:rPr>
      <w:rFonts w:ascii="Segoe UI" w:hAnsi="Segoe UI" w:cs="Segoe UI"/>
      <w:sz w:val="18"/>
      <w:szCs w:val="18"/>
    </w:rPr>
  </w:style>
  <w:style w:type="character" w:customStyle="1" w:styleId="BalloonTextChar">
    <w:name w:val="Balloon Text Char"/>
    <w:basedOn w:val="DefaultParagraphFont"/>
    <w:link w:val="BalloonText"/>
    <w:semiHidden/>
    <w:rsid w:val="001E109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22691">
      <w:bodyDiv w:val="1"/>
      <w:marLeft w:val="0"/>
      <w:marRight w:val="0"/>
      <w:marTop w:val="0"/>
      <w:marBottom w:val="0"/>
      <w:divBdr>
        <w:top w:val="none" w:sz="0" w:space="0" w:color="auto"/>
        <w:left w:val="none" w:sz="0" w:space="0" w:color="auto"/>
        <w:bottom w:val="none" w:sz="0" w:space="0" w:color="auto"/>
        <w:right w:val="none" w:sz="0" w:space="0" w:color="auto"/>
      </w:divBdr>
      <w:divsChild>
        <w:div w:id="804547502">
          <w:marLeft w:val="0"/>
          <w:marRight w:val="0"/>
          <w:marTop w:val="0"/>
          <w:marBottom w:val="0"/>
          <w:divBdr>
            <w:top w:val="none" w:sz="0" w:space="0" w:color="auto"/>
            <w:left w:val="none" w:sz="0" w:space="0" w:color="auto"/>
            <w:bottom w:val="none" w:sz="0" w:space="0" w:color="auto"/>
            <w:right w:val="none" w:sz="0" w:space="0" w:color="auto"/>
          </w:divBdr>
          <w:divsChild>
            <w:div w:id="120849829">
              <w:marLeft w:val="0"/>
              <w:marRight w:val="0"/>
              <w:marTop w:val="0"/>
              <w:marBottom w:val="0"/>
              <w:divBdr>
                <w:top w:val="none" w:sz="0" w:space="0" w:color="auto"/>
                <w:left w:val="none" w:sz="0" w:space="0" w:color="auto"/>
                <w:bottom w:val="none" w:sz="0" w:space="0" w:color="auto"/>
                <w:right w:val="none" w:sz="0" w:space="0" w:color="auto"/>
              </w:divBdr>
              <w:divsChild>
                <w:div w:id="1067534401">
                  <w:marLeft w:val="0"/>
                  <w:marRight w:val="0"/>
                  <w:marTop w:val="0"/>
                  <w:marBottom w:val="0"/>
                  <w:divBdr>
                    <w:top w:val="none" w:sz="0" w:space="0" w:color="auto"/>
                    <w:left w:val="none" w:sz="0" w:space="0" w:color="auto"/>
                    <w:bottom w:val="none" w:sz="0" w:space="0" w:color="auto"/>
                    <w:right w:val="none" w:sz="0" w:space="0" w:color="auto"/>
                  </w:divBdr>
                </w:div>
              </w:divsChild>
            </w:div>
            <w:div w:id="3898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6304">
      <w:bodyDiv w:val="1"/>
      <w:marLeft w:val="0"/>
      <w:marRight w:val="0"/>
      <w:marTop w:val="0"/>
      <w:marBottom w:val="0"/>
      <w:divBdr>
        <w:top w:val="none" w:sz="0" w:space="0" w:color="auto"/>
        <w:left w:val="none" w:sz="0" w:space="0" w:color="auto"/>
        <w:bottom w:val="none" w:sz="0" w:space="0" w:color="auto"/>
        <w:right w:val="none" w:sz="0" w:space="0" w:color="auto"/>
      </w:divBdr>
      <w:divsChild>
        <w:div w:id="103180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508671">
          <w:blockQuote w:val="1"/>
          <w:marLeft w:val="720"/>
          <w:marRight w:val="720"/>
          <w:marTop w:val="100"/>
          <w:marBottom w:val="100"/>
          <w:divBdr>
            <w:top w:val="none" w:sz="0" w:space="0" w:color="auto"/>
            <w:left w:val="none" w:sz="0" w:space="0" w:color="auto"/>
            <w:bottom w:val="none" w:sz="0" w:space="0" w:color="auto"/>
            <w:right w:val="none" w:sz="0" w:space="0" w:color="auto"/>
          </w:divBdr>
        </w:div>
        <w:div w:id="37435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20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555586">
      <w:bodyDiv w:val="1"/>
      <w:marLeft w:val="0"/>
      <w:marRight w:val="0"/>
      <w:marTop w:val="0"/>
      <w:marBottom w:val="0"/>
      <w:divBdr>
        <w:top w:val="none" w:sz="0" w:space="0" w:color="auto"/>
        <w:left w:val="none" w:sz="0" w:space="0" w:color="auto"/>
        <w:bottom w:val="none" w:sz="0" w:space="0" w:color="auto"/>
        <w:right w:val="none" w:sz="0" w:space="0" w:color="auto"/>
      </w:divBdr>
    </w:div>
    <w:div w:id="1597402968">
      <w:bodyDiv w:val="1"/>
      <w:marLeft w:val="0"/>
      <w:marRight w:val="0"/>
      <w:marTop w:val="0"/>
      <w:marBottom w:val="0"/>
      <w:divBdr>
        <w:top w:val="none" w:sz="0" w:space="0" w:color="auto"/>
        <w:left w:val="none" w:sz="0" w:space="0" w:color="auto"/>
        <w:bottom w:val="none" w:sz="0" w:space="0" w:color="auto"/>
        <w:right w:val="none" w:sz="0" w:space="0" w:color="auto"/>
      </w:divBdr>
    </w:div>
    <w:div w:id="1877498505">
      <w:bodyDiv w:val="1"/>
      <w:marLeft w:val="0"/>
      <w:marRight w:val="0"/>
      <w:marTop w:val="0"/>
      <w:marBottom w:val="0"/>
      <w:divBdr>
        <w:top w:val="none" w:sz="0" w:space="0" w:color="auto"/>
        <w:left w:val="none" w:sz="0" w:space="0" w:color="auto"/>
        <w:bottom w:val="none" w:sz="0" w:space="0" w:color="auto"/>
        <w:right w:val="none" w:sz="0" w:space="0" w:color="auto"/>
      </w:divBdr>
      <w:divsChild>
        <w:div w:id="451247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bailii.org/cgi-bin/redirect.cgi?path=/uk/cases/UKHL/1987/12.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ailii.org/cgi-bin/redirect.cgi?path=/uk/cases/UKHL/1987/1987_SC_HL_37.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bailii.org/cgi-bin/redirect.cgi?path=/ew/cases/EWCA/Civ/2012/197.html"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bailii.org/cgi-bin/redirect.cgi?path=/uk/cases/UKPC/2004/1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zy67f\OneDrive%20-%20Ministry%20of%20Justice\JudgmentTemplate\Templates\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D71330B0C2549B31E9CAA61AC1BC3" ma:contentTypeVersion="12" ma:contentTypeDescription="Create a new document." ma:contentTypeScope="" ma:versionID="5097e58f893d741fc285afb255e639ca">
  <xsd:schema xmlns:xsd="http://www.w3.org/2001/XMLSchema" xmlns:xs="http://www.w3.org/2001/XMLSchema" xmlns:p="http://schemas.microsoft.com/office/2006/metadata/properties" xmlns:ns3="a43c54ca-90c5-4eb2-9b56-d69f0a03b442" xmlns:ns4="36d64681-489a-459f-a53c-1f862f465b6d" targetNamespace="http://schemas.microsoft.com/office/2006/metadata/properties" ma:root="true" ma:fieldsID="f504b64e236298ecb4279d77d4ef32a8" ns3:_="" ns4:_="">
    <xsd:import namespace="a43c54ca-90c5-4eb2-9b56-d69f0a03b442"/>
    <xsd:import namespace="36d64681-489a-459f-a53c-1f862f465b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54ca-90c5-4eb2-9b56-d69f0a03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64681-489a-459f-a53c-1f862f465b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82815-176A-405A-8C5E-ED80CF33C0DD}">
  <ds:schemaRefs>
    <ds:schemaRef ds:uri="http://schemas.microsoft.com/sharepoint/v3/contenttype/forms"/>
  </ds:schemaRefs>
</ds:datastoreItem>
</file>

<file path=customXml/itemProps2.xml><?xml version="1.0" encoding="utf-8"?>
<ds:datastoreItem xmlns:ds="http://schemas.openxmlformats.org/officeDocument/2006/customXml" ds:itemID="{B4EF5A61-B35E-46A3-AC24-39C03AB955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43677C-1424-4D07-A9C7-B664795E1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54ca-90c5-4eb2-9b56-d69f0a03b442"/>
    <ds:schemaRef ds:uri="36d64681-489a-459f-a53c-1f862f465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035FA-ADCE-41A7-B8E0-3160C172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Template>
  <TotalTime>55</TotalTime>
  <Pages>32</Pages>
  <Words>15435</Words>
  <Characters>87985</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103214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Davidson, Linda</dc:creator>
  <cp:keywords/>
  <dc:description/>
  <cp:lastModifiedBy>Reid, Neal</cp:lastModifiedBy>
  <cp:revision>17</cp:revision>
  <dcterms:created xsi:type="dcterms:W3CDTF">2021-03-08T09:09:00Z</dcterms:created>
  <dcterms:modified xsi:type="dcterms:W3CDTF">2021-03-09T09:47:00Z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B3/2020/1263</vt:lpwstr>
  </property>
  <property fmtid="{D5CDD505-2E9C-101B-9397-08002B2CF9AE}" pid="9" name="ContentTypeId">
    <vt:lpwstr>0x010100838D71330B0C2549B31E9CAA61AC1BC3</vt:lpwstr>
  </property>
  <property fmtid="{D5CDD505-2E9C-101B-9397-08002B2CF9AE}" pid="10" name="NCJudgeDate">
    <vt:lpwstr>10/03/2021</vt:lpwstr>
  </property>
  <property fmtid="{D5CDD505-2E9C-101B-9397-08002B2CF9AE}" pid="11" name="NCNumber">
    <vt:lpwstr>[2021] EWCA Civ 326</vt:lpwstr>
  </property>
</Properties>
</file>