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E7ADC1" w14:textId="11517267" w:rsidR="00E1256F" w:rsidRPr="00C40A8B" w:rsidRDefault="00E1256F" w:rsidP="00367857">
      <w:pPr>
        <w:jc w:val="both"/>
      </w:pPr>
    </w:p>
    <w:p w14:paraId="0036C7C8" w14:textId="249A1A49" w:rsidR="00C40A8B" w:rsidRDefault="00C40A8B" w:rsidP="009D2515">
      <w:pPr>
        <w:jc w:val="both"/>
        <w:rPr>
          <w:rFonts w:ascii="Arial" w:hAnsi="Arial" w:cs="Arial"/>
          <w:b/>
          <w:sz w:val="24"/>
          <w:szCs w:val="24"/>
        </w:rPr>
      </w:pPr>
      <w:r>
        <w:rPr>
          <w:rFonts w:ascii="Arial" w:hAnsi="Arial" w:cs="Arial"/>
          <w:b/>
          <w:sz w:val="24"/>
          <w:szCs w:val="24"/>
        </w:rPr>
        <w:t>New discount rate for PI claims - relief for claimants</w:t>
      </w:r>
    </w:p>
    <w:p w14:paraId="509AF6C2" w14:textId="77777777" w:rsidR="00C40A8B" w:rsidRDefault="00C40A8B" w:rsidP="009D2515">
      <w:pPr>
        <w:jc w:val="both"/>
        <w:rPr>
          <w:rFonts w:ascii="Arial" w:hAnsi="Arial" w:cs="Arial"/>
          <w:b/>
          <w:sz w:val="24"/>
          <w:szCs w:val="24"/>
        </w:rPr>
      </w:pPr>
    </w:p>
    <w:p w14:paraId="5D811F51" w14:textId="77777777" w:rsidR="00C40A8B" w:rsidRDefault="00C40A8B" w:rsidP="00C40A8B">
      <w:pPr>
        <w:jc w:val="both"/>
        <w:rPr>
          <w:rFonts w:ascii="Arial" w:hAnsi="Arial" w:cs="Arial"/>
          <w:sz w:val="24"/>
          <w:szCs w:val="24"/>
        </w:rPr>
      </w:pPr>
      <w:r>
        <w:rPr>
          <w:rFonts w:ascii="Arial" w:hAnsi="Arial" w:cs="Arial"/>
          <w:sz w:val="24"/>
          <w:szCs w:val="24"/>
        </w:rPr>
        <w:t>P</w:t>
      </w:r>
      <w:r w:rsidRPr="00C40A8B">
        <w:rPr>
          <w:rFonts w:ascii="Arial" w:hAnsi="Arial" w:cs="Arial"/>
          <w:sz w:val="24"/>
          <w:szCs w:val="24"/>
        </w:rPr>
        <w:t xml:space="preserve">ublished by </w:t>
      </w:r>
      <w:r>
        <w:rPr>
          <w:rFonts w:ascii="Arial" w:hAnsi="Arial" w:cs="Arial"/>
          <w:sz w:val="24"/>
          <w:szCs w:val="24"/>
        </w:rPr>
        <w:t>Lexis Nexis</w:t>
      </w:r>
      <w:r w:rsidRPr="00C40A8B">
        <w:rPr>
          <w:rFonts w:ascii="Arial" w:hAnsi="Arial" w:cs="Arial"/>
          <w:sz w:val="24"/>
          <w:szCs w:val="24"/>
        </w:rPr>
        <w:t xml:space="preserve"> on 31.7.19. Updated by Bethany Sanders October 2019</w:t>
      </w:r>
    </w:p>
    <w:p w14:paraId="3D9B3C5E" w14:textId="77777777" w:rsidR="00C40A8B" w:rsidRPr="00C40A8B" w:rsidRDefault="00C40A8B" w:rsidP="00C40A8B">
      <w:pPr>
        <w:jc w:val="both"/>
        <w:rPr>
          <w:rFonts w:ascii="Arial" w:hAnsi="Arial" w:cs="Arial"/>
          <w:sz w:val="24"/>
          <w:szCs w:val="24"/>
        </w:rPr>
      </w:pPr>
    </w:p>
    <w:p w14:paraId="5F704F2F" w14:textId="400E7FAA" w:rsidR="00C40A8B" w:rsidRDefault="00C40A8B" w:rsidP="009D2515">
      <w:pPr>
        <w:jc w:val="both"/>
        <w:rPr>
          <w:rFonts w:ascii="Arial" w:hAnsi="Arial" w:cs="Arial"/>
          <w:sz w:val="24"/>
          <w:szCs w:val="24"/>
        </w:rPr>
      </w:pPr>
      <w:r w:rsidRPr="00C40A8B">
        <w:rPr>
          <w:rFonts w:ascii="Arial" w:hAnsi="Arial" w:cs="Arial"/>
          <w:sz w:val="24"/>
          <w:szCs w:val="24"/>
        </w:rPr>
        <w:t>Personal Injury analysis: From 5 August 2019 the discount rate for personal injury claims is minus 0.25%. Accident and personal injury claimant specialist, Bethany Sanders, associate solicitor at Leigh Day, comments on the practical implications of the new regime.</w:t>
      </w:r>
    </w:p>
    <w:p w14:paraId="729AA300" w14:textId="77777777" w:rsidR="00C40A8B" w:rsidRDefault="00C40A8B" w:rsidP="009D2515">
      <w:pPr>
        <w:jc w:val="both"/>
        <w:rPr>
          <w:rFonts w:ascii="Arial" w:hAnsi="Arial" w:cs="Arial"/>
          <w:b/>
          <w:sz w:val="24"/>
          <w:szCs w:val="24"/>
        </w:rPr>
      </w:pPr>
    </w:p>
    <w:p w14:paraId="7280173E" w14:textId="77777777" w:rsidR="00E1256F" w:rsidRPr="009D2515" w:rsidRDefault="00E1256F" w:rsidP="009D2515">
      <w:pPr>
        <w:jc w:val="both"/>
        <w:rPr>
          <w:rFonts w:ascii="Arial" w:hAnsi="Arial" w:cs="Arial"/>
          <w:b/>
          <w:sz w:val="24"/>
          <w:szCs w:val="24"/>
        </w:rPr>
      </w:pPr>
      <w:r w:rsidRPr="009D2515">
        <w:rPr>
          <w:rFonts w:ascii="Arial" w:hAnsi="Arial" w:cs="Arial"/>
          <w:b/>
          <w:sz w:val="24"/>
          <w:szCs w:val="24"/>
        </w:rPr>
        <w:t>What are the impacts of the new discount rate on future loss claims?</w:t>
      </w:r>
    </w:p>
    <w:p w14:paraId="37088CC7" w14:textId="77777777" w:rsidR="00367857" w:rsidRDefault="00367857" w:rsidP="00B236A7">
      <w:pPr>
        <w:jc w:val="both"/>
        <w:rPr>
          <w:rFonts w:ascii="Arial" w:hAnsi="Arial" w:cs="Arial"/>
          <w:sz w:val="24"/>
          <w:szCs w:val="24"/>
          <w:lang w:val="en"/>
        </w:rPr>
      </w:pPr>
    </w:p>
    <w:p w14:paraId="5E0D6D75" w14:textId="67FE3E01" w:rsidR="00D02332" w:rsidRDefault="00B26768" w:rsidP="00B236A7">
      <w:pPr>
        <w:jc w:val="both"/>
        <w:rPr>
          <w:rFonts w:ascii="Arial" w:hAnsi="Arial" w:cs="Arial"/>
          <w:sz w:val="24"/>
          <w:szCs w:val="24"/>
          <w:lang w:val="en"/>
        </w:rPr>
      </w:pPr>
      <w:r w:rsidRPr="00B26768">
        <w:rPr>
          <w:rFonts w:ascii="Arial" w:hAnsi="Arial" w:cs="Arial"/>
          <w:sz w:val="24"/>
          <w:szCs w:val="24"/>
          <w:lang w:val="en"/>
        </w:rPr>
        <w:t>I</w:t>
      </w:r>
      <w:r w:rsidR="00276A37" w:rsidRPr="00B26768">
        <w:rPr>
          <w:rFonts w:ascii="Arial" w:hAnsi="Arial" w:cs="Arial"/>
          <w:sz w:val="24"/>
          <w:szCs w:val="24"/>
          <w:lang w:val="en"/>
        </w:rPr>
        <w:t xml:space="preserve">ndividuals should receive </w:t>
      </w:r>
      <w:r w:rsidR="00276A37" w:rsidRPr="00C40A8B">
        <w:rPr>
          <w:rFonts w:ascii="Arial" w:hAnsi="Arial" w:cs="Arial"/>
          <w:i/>
          <w:sz w:val="24"/>
          <w:szCs w:val="24"/>
          <w:lang w:val="en"/>
        </w:rPr>
        <w:t xml:space="preserve">full </w:t>
      </w:r>
      <w:r w:rsidR="00FC016D" w:rsidRPr="00C40A8B">
        <w:rPr>
          <w:rFonts w:ascii="Arial" w:hAnsi="Arial" w:cs="Arial"/>
          <w:i/>
          <w:sz w:val="24"/>
          <w:szCs w:val="24"/>
          <w:lang w:val="en"/>
        </w:rPr>
        <w:t xml:space="preserve">and fair </w:t>
      </w:r>
      <w:r w:rsidR="00276A37" w:rsidRPr="00C40A8B">
        <w:rPr>
          <w:rFonts w:ascii="Arial" w:hAnsi="Arial" w:cs="Arial"/>
          <w:i/>
          <w:sz w:val="24"/>
          <w:szCs w:val="24"/>
          <w:lang w:val="en"/>
        </w:rPr>
        <w:t>compensation</w:t>
      </w:r>
      <w:r w:rsidR="00276A37" w:rsidRPr="00B26768">
        <w:rPr>
          <w:rFonts w:ascii="Arial" w:hAnsi="Arial" w:cs="Arial"/>
          <w:sz w:val="24"/>
          <w:szCs w:val="24"/>
          <w:lang w:val="en"/>
        </w:rPr>
        <w:t xml:space="preserve"> for losses suffered as a result of personal injuries that are not their fault</w:t>
      </w:r>
      <w:r w:rsidR="00223A35">
        <w:rPr>
          <w:rStyle w:val="FootnoteReference"/>
          <w:rFonts w:ascii="Arial" w:hAnsi="Arial" w:cs="Arial"/>
          <w:sz w:val="24"/>
          <w:szCs w:val="24"/>
          <w:lang w:val="en"/>
        </w:rPr>
        <w:footnoteReference w:id="1"/>
      </w:r>
      <w:r w:rsidR="009D2515">
        <w:rPr>
          <w:rFonts w:ascii="Arial" w:hAnsi="Arial" w:cs="Arial"/>
          <w:sz w:val="24"/>
          <w:szCs w:val="24"/>
          <w:lang w:val="en"/>
        </w:rPr>
        <w:t xml:space="preserve">. </w:t>
      </w:r>
      <w:r w:rsidRPr="00B26768">
        <w:rPr>
          <w:rFonts w:ascii="Arial" w:hAnsi="Arial" w:cs="Arial"/>
          <w:sz w:val="24"/>
          <w:szCs w:val="24"/>
          <w:lang w:val="en"/>
        </w:rPr>
        <w:t xml:space="preserve">In order to try and achieve that, an adjustment is needed to future </w:t>
      </w:r>
      <w:r w:rsidR="009C1770">
        <w:rPr>
          <w:rFonts w:ascii="Arial" w:hAnsi="Arial" w:cs="Arial"/>
          <w:sz w:val="24"/>
          <w:szCs w:val="24"/>
          <w:lang w:val="en"/>
        </w:rPr>
        <w:t xml:space="preserve">lump sum </w:t>
      </w:r>
      <w:r w:rsidRPr="00B26768">
        <w:rPr>
          <w:rFonts w:ascii="Arial" w:hAnsi="Arial" w:cs="Arial"/>
          <w:sz w:val="24"/>
          <w:szCs w:val="24"/>
          <w:lang w:val="en"/>
        </w:rPr>
        <w:t>financial losses (such as future loss of earnings and care</w:t>
      </w:r>
      <w:r>
        <w:rPr>
          <w:rFonts w:ascii="Arial" w:hAnsi="Arial" w:cs="Arial"/>
          <w:sz w:val="24"/>
          <w:szCs w:val="24"/>
          <w:lang w:val="en"/>
        </w:rPr>
        <w:t xml:space="preserve">) </w:t>
      </w:r>
      <w:r w:rsidRPr="000F45D4">
        <w:rPr>
          <w:rFonts w:ascii="Arial" w:hAnsi="Arial" w:cs="Arial"/>
          <w:sz w:val="24"/>
          <w:szCs w:val="24"/>
          <w:lang w:val="en"/>
        </w:rPr>
        <w:t>to reflect the interest th</w:t>
      </w:r>
      <w:r>
        <w:rPr>
          <w:rFonts w:ascii="Arial" w:hAnsi="Arial" w:cs="Arial"/>
          <w:sz w:val="24"/>
          <w:szCs w:val="24"/>
          <w:lang w:val="en"/>
        </w:rPr>
        <w:t>at can be earned</w:t>
      </w:r>
      <w:r w:rsidRPr="000F45D4">
        <w:rPr>
          <w:rFonts w:ascii="Arial" w:hAnsi="Arial" w:cs="Arial"/>
          <w:sz w:val="24"/>
          <w:szCs w:val="24"/>
          <w:lang w:val="en"/>
        </w:rPr>
        <w:t xml:space="preserve"> by investing such payments (accelerated receipt), as well as the effects of tax, expenses and inflation </w:t>
      </w:r>
      <w:r w:rsidRPr="00D8640A">
        <w:rPr>
          <w:rFonts w:ascii="Arial" w:hAnsi="Arial" w:cs="Arial"/>
          <w:sz w:val="24"/>
          <w:szCs w:val="24"/>
          <w:lang w:val="en"/>
        </w:rPr>
        <w:t xml:space="preserve">on these returns.  </w:t>
      </w:r>
      <w:r w:rsidR="00670533">
        <w:rPr>
          <w:rFonts w:ascii="Arial" w:hAnsi="Arial" w:cs="Arial"/>
          <w:sz w:val="24"/>
          <w:szCs w:val="24"/>
          <w:lang w:val="en"/>
        </w:rPr>
        <w:t xml:space="preserve">This </w:t>
      </w:r>
      <w:r w:rsidR="00FD5475">
        <w:rPr>
          <w:rFonts w:ascii="Arial" w:hAnsi="Arial" w:cs="Arial"/>
          <w:sz w:val="24"/>
          <w:szCs w:val="24"/>
          <w:lang w:val="en"/>
        </w:rPr>
        <w:t>adjustment is known as the d</w:t>
      </w:r>
      <w:r w:rsidR="00670533">
        <w:rPr>
          <w:rFonts w:ascii="Arial" w:hAnsi="Arial" w:cs="Arial"/>
          <w:sz w:val="24"/>
          <w:szCs w:val="24"/>
          <w:lang w:val="en"/>
        </w:rPr>
        <w:t xml:space="preserve">iscount </w:t>
      </w:r>
      <w:r w:rsidR="00FD5475">
        <w:rPr>
          <w:rFonts w:ascii="Arial" w:hAnsi="Arial" w:cs="Arial"/>
          <w:sz w:val="24"/>
          <w:szCs w:val="24"/>
          <w:lang w:val="en"/>
        </w:rPr>
        <w:t>r</w:t>
      </w:r>
      <w:r w:rsidR="00670533">
        <w:rPr>
          <w:rFonts w:ascii="Arial" w:hAnsi="Arial" w:cs="Arial"/>
          <w:sz w:val="24"/>
          <w:szCs w:val="24"/>
          <w:lang w:val="en"/>
        </w:rPr>
        <w:t>ate.</w:t>
      </w:r>
      <w:r w:rsidR="00D02332">
        <w:rPr>
          <w:rFonts w:ascii="Arial" w:hAnsi="Arial" w:cs="Arial"/>
          <w:sz w:val="24"/>
          <w:szCs w:val="24"/>
          <w:lang w:val="en"/>
        </w:rPr>
        <w:t xml:space="preserve">  </w:t>
      </w:r>
    </w:p>
    <w:p w14:paraId="442D0010" w14:textId="77777777" w:rsidR="00D02332" w:rsidRDefault="00D02332" w:rsidP="00B236A7">
      <w:pPr>
        <w:jc w:val="both"/>
        <w:rPr>
          <w:rFonts w:ascii="Arial" w:hAnsi="Arial" w:cs="Arial"/>
          <w:sz w:val="24"/>
          <w:szCs w:val="24"/>
          <w:lang w:val="en"/>
        </w:rPr>
      </w:pPr>
    </w:p>
    <w:p w14:paraId="0D68487F" w14:textId="2765AF99" w:rsidR="00276A37" w:rsidRDefault="00D02332" w:rsidP="00B236A7">
      <w:pPr>
        <w:jc w:val="both"/>
        <w:rPr>
          <w:rFonts w:ascii="Arial" w:hAnsi="Arial" w:cs="Arial"/>
          <w:sz w:val="24"/>
          <w:szCs w:val="24"/>
          <w:lang w:val="en"/>
        </w:rPr>
      </w:pPr>
      <w:r>
        <w:rPr>
          <w:rFonts w:ascii="Arial" w:hAnsi="Arial" w:cs="Arial"/>
          <w:sz w:val="24"/>
          <w:szCs w:val="24"/>
          <w:lang w:val="en"/>
        </w:rPr>
        <w:t>T</w:t>
      </w:r>
      <w:r w:rsidR="00FC016D" w:rsidRPr="00D8640A">
        <w:rPr>
          <w:rFonts w:ascii="Arial" w:hAnsi="Arial" w:cs="Arial"/>
          <w:sz w:val="24"/>
          <w:szCs w:val="24"/>
        </w:rPr>
        <w:t>he Damages Act</w:t>
      </w:r>
      <w:r w:rsidR="00FD7E6D">
        <w:rPr>
          <w:rFonts w:ascii="Arial" w:hAnsi="Arial" w:cs="Arial"/>
          <w:sz w:val="24"/>
          <w:szCs w:val="24"/>
        </w:rPr>
        <w:t xml:space="preserve"> 1996</w:t>
      </w:r>
      <w:r w:rsidR="00FC016D">
        <w:rPr>
          <w:rFonts w:ascii="Arial" w:hAnsi="Arial" w:cs="Arial"/>
          <w:sz w:val="24"/>
          <w:szCs w:val="24"/>
        </w:rPr>
        <w:t>, as amended by the Civil Liability Act 2018</w:t>
      </w:r>
      <w:r>
        <w:rPr>
          <w:rFonts w:ascii="Arial" w:hAnsi="Arial" w:cs="Arial"/>
          <w:sz w:val="24"/>
          <w:szCs w:val="24"/>
        </w:rPr>
        <w:t>, requires the court to apply the</w:t>
      </w:r>
      <w:r w:rsidR="00FC016D" w:rsidRPr="00D8640A">
        <w:rPr>
          <w:rFonts w:ascii="Arial" w:hAnsi="Arial" w:cs="Arial"/>
          <w:sz w:val="24"/>
          <w:szCs w:val="24"/>
        </w:rPr>
        <w:t xml:space="preserve"> discount rate prescribed pursuant to the Act</w:t>
      </w:r>
      <w:r>
        <w:rPr>
          <w:rFonts w:ascii="Arial" w:hAnsi="Arial" w:cs="Arial"/>
          <w:sz w:val="24"/>
          <w:szCs w:val="24"/>
        </w:rPr>
        <w:t xml:space="preserve"> to future loss calculations</w:t>
      </w:r>
      <w:r w:rsidR="00FC016D" w:rsidRPr="00D8640A">
        <w:rPr>
          <w:rFonts w:ascii="Arial" w:hAnsi="Arial" w:cs="Arial"/>
          <w:sz w:val="24"/>
          <w:szCs w:val="24"/>
        </w:rPr>
        <w:t>.</w:t>
      </w:r>
      <w:r w:rsidR="00FC016D">
        <w:rPr>
          <w:rFonts w:ascii="Arial" w:hAnsi="Arial" w:cs="Arial"/>
          <w:sz w:val="24"/>
          <w:szCs w:val="24"/>
        </w:rPr>
        <w:t xml:space="preserve">  </w:t>
      </w:r>
      <w:r w:rsidR="00B26768">
        <w:rPr>
          <w:rFonts w:ascii="Arial" w:hAnsi="Arial" w:cs="Arial"/>
          <w:sz w:val="24"/>
          <w:szCs w:val="24"/>
          <w:lang w:val="en"/>
        </w:rPr>
        <w:t>The level of the discount rate is set by the Lord Chancellor</w:t>
      </w:r>
      <w:r w:rsidR="00FD7E6D">
        <w:rPr>
          <w:rFonts w:ascii="Arial" w:hAnsi="Arial" w:cs="Arial"/>
          <w:sz w:val="24"/>
          <w:szCs w:val="24"/>
          <w:lang w:val="en"/>
        </w:rPr>
        <w:t>.</w:t>
      </w:r>
      <w:r w:rsidR="00B26768">
        <w:rPr>
          <w:rFonts w:ascii="Arial" w:hAnsi="Arial" w:cs="Arial"/>
          <w:sz w:val="24"/>
          <w:szCs w:val="24"/>
          <w:lang w:val="en"/>
        </w:rPr>
        <w:t xml:space="preserve"> </w:t>
      </w:r>
    </w:p>
    <w:p w14:paraId="74B1EC14" w14:textId="77777777" w:rsidR="00B26768" w:rsidRPr="00B26768" w:rsidRDefault="00B26768" w:rsidP="00B236A7">
      <w:pPr>
        <w:jc w:val="both"/>
        <w:rPr>
          <w:rStyle w:val="st1"/>
          <w:rFonts w:ascii="Arial" w:hAnsi="Arial" w:cs="Arial"/>
          <w:sz w:val="24"/>
          <w:szCs w:val="24"/>
        </w:rPr>
      </w:pPr>
    </w:p>
    <w:p w14:paraId="02929C74" w14:textId="0E534F00" w:rsidR="00254A4C" w:rsidRDefault="000F45D4" w:rsidP="00B236A7">
      <w:pPr>
        <w:jc w:val="both"/>
        <w:rPr>
          <w:rFonts w:ascii="Arial" w:eastAsia="Times New Roman" w:hAnsi="Arial" w:cs="Arial"/>
          <w:sz w:val="24"/>
          <w:szCs w:val="24"/>
        </w:rPr>
      </w:pPr>
      <w:r w:rsidRPr="000F45D4">
        <w:rPr>
          <w:rFonts w:ascii="Arial" w:eastAsia="Times New Roman" w:hAnsi="Arial" w:cs="Arial"/>
          <w:sz w:val="24"/>
          <w:szCs w:val="24"/>
        </w:rPr>
        <w:t xml:space="preserve">No rate of return was prescribed when the </w:t>
      </w:r>
      <w:r w:rsidR="00B236A7">
        <w:rPr>
          <w:rFonts w:ascii="Arial" w:eastAsia="Times New Roman" w:hAnsi="Arial" w:cs="Arial"/>
          <w:sz w:val="24"/>
          <w:szCs w:val="24"/>
        </w:rPr>
        <w:t xml:space="preserve">Damages </w:t>
      </w:r>
      <w:r w:rsidRPr="000F45D4">
        <w:rPr>
          <w:rFonts w:ascii="Arial" w:eastAsia="Times New Roman" w:hAnsi="Arial" w:cs="Arial"/>
          <w:sz w:val="24"/>
          <w:szCs w:val="24"/>
        </w:rPr>
        <w:t xml:space="preserve">Act </w:t>
      </w:r>
      <w:r w:rsidR="00FD7E6D" w:rsidRPr="00D8640A">
        <w:rPr>
          <w:rFonts w:ascii="Arial" w:hAnsi="Arial" w:cs="Arial"/>
          <w:sz w:val="24"/>
          <w:szCs w:val="24"/>
        </w:rPr>
        <w:t>1996</w:t>
      </w:r>
      <w:r w:rsidR="00FD7E6D">
        <w:rPr>
          <w:rFonts w:ascii="Arial" w:hAnsi="Arial" w:cs="Arial"/>
          <w:sz w:val="24"/>
          <w:szCs w:val="24"/>
        </w:rPr>
        <w:t xml:space="preserve"> </w:t>
      </w:r>
      <w:r w:rsidRPr="000F45D4">
        <w:rPr>
          <w:rFonts w:ascii="Arial" w:eastAsia="Times New Roman" w:hAnsi="Arial" w:cs="Arial"/>
          <w:sz w:val="24"/>
          <w:szCs w:val="24"/>
        </w:rPr>
        <w:t xml:space="preserve">came into force. In July 1998, the House of Lords (as it was then known) decided </w:t>
      </w:r>
      <w:r w:rsidR="00D02332">
        <w:rPr>
          <w:rFonts w:ascii="Arial" w:eastAsia="Times New Roman" w:hAnsi="Arial" w:cs="Arial"/>
          <w:sz w:val="24"/>
          <w:szCs w:val="24"/>
        </w:rPr>
        <w:t>in</w:t>
      </w:r>
      <w:r w:rsidRPr="000F45D4">
        <w:rPr>
          <w:rFonts w:ascii="Arial" w:eastAsia="Times New Roman" w:hAnsi="Arial" w:cs="Arial"/>
          <w:sz w:val="24"/>
          <w:szCs w:val="24"/>
        </w:rPr>
        <w:t xml:space="preserve"> </w:t>
      </w:r>
      <w:r w:rsidRPr="00C40A8B">
        <w:rPr>
          <w:rFonts w:ascii="Arial" w:eastAsia="Times New Roman" w:hAnsi="Arial" w:cs="Arial"/>
          <w:i/>
          <w:iCs/>
          <w:sz w:val="24"/>
          <w:szCs w:val="24"/>
        </w:rPr>
        <w:t>Wells v Wells</w:t>
      </w:r>
      <w:r w:rsidR="001F6F4D">
        <w:rPr>
          <w:rStyle w:val="FootnoteReference"/>
          <w:rFonts w:ascii="Arial" w:eastAsia="Times New Roman" w:hAnsi="Arial" w:cs="Arial"/>
          <w:i/>
          <w:iCs/>
          <w:sz w:val="24"/>
          <w:szCs w:val="24"/>
        </w:rPr>
        <w:footnoteReference w:id="2"/>
      </w:r>
      <w:r w:rsidRPr="000F45D4">
        <w:rPr>
          <w:rFonts w:ascii="Arial" w:eastAsia="Times New Roman" w:hAnsi="Arial" w:cs="Arial"/>
          <w:sz w:val="24"/>
          <w:szCs w:val="24"/>
        </w:rPr>
        <w:t xml:space="preserve"> </w:t>
      </w:r>
      <w:r w:rsidR="00D02332">
        <w:rPr>
          <w:rFonts w:ascii="Arial" w:eastAsia="Times New Roman" w:hAnsi="Arial" w:cs="Arial"/>
          <w:sz w:val="24"/>
          <w:szCs w:val="24"/>
        </w:rPr>
        <w:t>that i</w:t>
      </w:r>
      <w:r w:rsidRPr="000F45D4">
        <w:rPr>
          <w:rFonts w:ascii="Arial" w:eastAsia="Times New Roman" w:hAnsi="Arial" w:cs="Arial"/>
          <w:sz w:val="24"/>
          <w:szCs w:val="24"/>
        </w:rPr>
        <w:t xml:space="preserve">n the absence </w:t>
      </w:r>
      <w:r w:rsidR="00582A06">
        <w:rPr>
          <w:rFonts w:ascii="Arial" w:eastAsia="Times New Roman" w:hAnsi="Arial" w:cs="Arial"/>
          <w:sz w:val="24"/>
          <w:szCs w:val="24"/>
        </w:rPr>
        <w:t>of a prescribed discount rate, accelerated receipt</w:t>
      </w:r>
      <w:r w:rsidRPr="000F45D4">
        <w:rPr>
          <w:rFonts w:ascii="Arial" w:eastAsia="Times New Roman" w:hAnsi="Arial" w:cs="Arial"/>
          <w:sz w:val="24"/>
          <w:szCs w:val="24"/>
        </w:rPr>
        <w:t xml:space="preserve"> should be assessed by modelling a risk-free rate of return, which they decided was best achieved by considering returns on index-linked </w:t>
      </w:r>
      <w:r w:rsidR="00B236A7">
        <w:rPr>
          <w:rFonts w:ascii="Arial" w:eastAsia="Times New Roman" w:hAnsi="Arial" w:cs="Arial"/>
          <w:sz w:val="24"/>
          <w:szCs w:val="24"/>
        </w:rPr>
        <w:t>Gilts</w:t>
      </w:r>
      <w:r w:rsidRPr="000F45D4">
        <w:rPr>
          <w:rFonts w:ascii="Arial" w:eastAsia="Times New Roman" w:hAnsi="Arial" w:cs="Arial"/>
          <w:sz w:val="24"/>
          <w:szCs w:val="24"/>
        </w:rPr>
        <w:t>. The upshot at that time was a discount rate of 3</w:t>
      </w:r>
      <w:r w:rsidR="00B236A7">
        <w:rPr>
          <w:rFonts w:ascii="Arial" w:eastAsia="Times New Roman" w:hAnsi="Arial" w:cs="Arial"/>
          <w:sz w:val="24"/>
          <w:szCs w:val="24"/>
        </w:rPr>
        <w:t>%</w:t>
      </w:r>
      <w:r w:rsidRPr="000F45D4">
        <w:rPr>
          <w:rFonts w:ascii="Arial" w:eastAsia="Times New Roman" w:hAnsi="Arial" w:cs="Arial"/>
          <w:sz w:val="24"/>
          <w:szCs w:val="24"/>
        </w:rPr>
        <w:t xml:space="preserve">. </w:t>
      </w:r>
      <w:r w:rsidR="005076D2">
        <w:rPr>
          <w:rFonts w:ascii="Arial" w:eastAsia="Times New Roman" w:hAnsi="Arial" w:cs="Arial"/>
          <w:sz w:val="24"/>
          <w:szCs w:val="24"/>
        </w:rPr>
        <w:t xml:space="preserve"> What this meant was that the court thought a reasonably prudent claimant not taking significant investment risks could generate a net return after tax</w:t>
      </w:r>
      <w:r w:rsidR="009C1770">
        <w:rPr>
          <w:rFonts w:ascii="Arial" w:eastAsia="Times New Roman" w:hAnsi="Arial" w:cs="Arial"/>
          <w:sz w:val="24"/>
          <w:szCs w:val="24"/>
        </w:rPr>
        <w:t xml:space="preserve"> and inflation</w:t>
      </w:r>
      <w:r w:rsidR="005076D2">
        <w:rPr>
          <w:rFonts w:ascii="Arial" w:eastAsia="Times New Roman" w:hAnsi="Arial" w:cs="Arial"/>
          <w:sz w:val="24"/>
          <w:szCs w:val="24"/>
        </w:rPr>
        <w:t xml:space="preserve"> of 3% on an award for future losses and the sum was discounted to reflect this.</w:t>
      </w:r>
    </w:p>
    <w:p w14:paraId="4D88C776" w14:textId="77777777" w:rsidR="00254A4C" w:rsidRDefault="00254A4C" w:rsidP="00B236A7">
      <w:pPr>
        <w:jc w:val="both"/>
        <w:rPr>
          <w:rFonts w:ascii="Arial" w:eastAsia="Times New Roman" w:hAnsi="Arial" w:cs="Arial"/>
          <w:sz w:val="24"/>
          <w:szCs w:val="24"/>
        </w:rPr>
      </w:pPr>
    </w:p>
    <w:p w14:paraId="1358D1FD" w14:textId="2D0A64D4" w:rsidR="005076D2" w:rsidRDefault="00D8640A" w:rsidP="00B236A7">
      <w:pPr>
        <w:jc w:val="both"/>
        <w:rPr>
          <w:rFonts w:ascii="Arial" w:eastAsia="Times New Roman" w:hAnsi="Arial" w:cs="Arial"/>
          <w:sz w:val="24"/>
          <w:szCs w:val="24"/>
        </w:rPr>
      </w:pPr>
      <w:r w:rsidRPr="00D8640A">
        <w:rPr>
          <w:rFonts w:ascii="Arial" w:eastAsia="Times New Roman" w:hAnsi="Arial" w:cs="Arial"/>
          <w:sz w:val="24"/>
          <w:szCs w:val="24"/>
        </w:rPr>
        <w:t xml:space="preserve">This was later amended by way of Order in June </w:t>
      </w:r>
      <w:r w:rsidR="00D02332">
        <w:rPr>
          <w:rFonts w:ascii="Arial" w:eastAsia="Times New Roman" w:hAnsi="Arial" w:cs="Arial"/>
          <w:sz w:val="24"/>
          <w:szCs w:val="24"/>
        </w:rPr>
        <w:t xml:space="preserve">2001, setting the rate at 2.5%.  </w:t>
      </w:r>
    </w:p>
    <w:p w14:paraId="517C9267" w14:textId="77777777" w:rsidR="005076D2" w:rsidRDefault="005076D2" w:rsidP="00B236A7">
      <w:pPr>
        <w:jc w:val="both"/>
        <w:rPr>
          <w:rFonts w:ascii="Arial" w:eastAsia="Times New Roman" w:hAnsi="Arial" w:cs="Arial"/>
          <w:sz w:val="24"/>
          <w:szCs w:val="24"/>
        </w:rPr>
      </w:pPr>
    </w:p>
    <w:p w14:paraId="33095BCD" w14:textId="47CF1525" w:rsidR="00B236A7" w:rsidRPr="00FD5475" w:rsidRDefault="005076D2" w:rsidP="00B236A7">
      <w:pPr>
        <w:jc w:val="both"/>
        <w:rPr>
          <w:rStyle w:val="st1"/>
          <w:rFonts w:ascii="Arial" w:eastAsia="Times New Roman" w:hAnsi="Arial" w:cs="Arial"/>
          <w:sz w:val="24"/>
          <w:szCs w:val="24"/>
        </w:rPr>
      </w:pPr>
      <w:r>
        <w:rPr>
          <w:rFonts w:ascii="Arial" w:eastAsia="Times New Roman" w:hAnsi="Arial" w:cs="Arial"/>
          <w:sz w:val="24"/>
          <w:szCs w:val="24"/>
        </w:rPr>
        <w:t xml:space="preserve">From about </w:t>
      </w:r>
      <w:r w:rsidR="009C1770">
        <w:rPr>
          <w:rFonts w:ascii="Arial" w:eastAsia="Times New Roman" w:hAnsi="Arial" w:cs="Arial"/>
          <w:sz w:val="24"/>
          <w:szCs w:val="24"/>
        </w:rPr>
        <w:t>20</w:t>
      </w:r>
      <w:r w:rsidR="00E44260">
        <w:rPr>
          <w:rFonts w:ascii="Arial" w:eastAsia="Times New Roman" w:hAnsi="Arial" w:cs="Arial"/>
          <w:sz w:val="24"/>
          <w:szCs w:val="24"/>
        </w:rPr>
        <w:t>09</w:t>
      </w:r>
      <w:r w:rsidR="009C1770">
        <w:rPr>
          <w:rFonts w:ascii="Arial" w:eastAsia="Times New Roman" w:hAnsi="Arial" w:cs="Arial"/>
          <w:sz w:val="24"/>
          <w:szCs w:val="24"/>
        </w:rPr>
        <w:t xml:space="preserve"> </w:t>
      </w:r>
      <w:r w:rsidR="00347EA5">
        <w:rPr>
          <w:rFonts w:ascii="Arial" w:eastAsia="Times New Roman" w:hAnsi="Arial" w:cs="Arial"/>
          <w:sz w:val="24"/>
          <w:szCs w:val="24"/>
        </w:rPr>
        <w:t>c</w:t>
      </w:r>
      <w:r>
        <w:rPr>
          <w:rFonts w:ascii="Arial" w:eastAsia="Times New Roman" w:hAnsi="Arial" w:cs="Arial"/>
          <w:sz w:val="24"/>
          <w:szCs w:val="24"/>
        </w:rPr>
        <w:t>laimant PI lawyers felt that the rate was too high and did not ref</w:t>
      </w:r>
      <w:r w:rsidR="009C1770">
        <w:rPr>
          <w:rFonts w:ascii="Arial" w:eastAsia="Times New Roman" w:hAnsi="Arial" w:cs="Arial"/>
          <w:sz w:val="24"/>
          <w:szCs w:val="24"/>
        </w:rPr>
        <w:t>l</w:t>
      </w:r>
      <w:r>
        <w:rPr>
          <w:rFonts w:ascii="Arial" w:eastAsia="Times New Roman" w:hAnsi="Arial" w:cs="Arial"/>
          <w:sz w:val="24"/>
          <w:szCs w:val="24"/>
        </w:rPr>
        <w:t>ect the unfavourable investment climate personal injury claimants were occupying – in simple terms it was not possible to generate a net return of 2.5% other th</w:t>
      </w:r>
      <w:r w:rsidR="00E44260">
        <w:rPr>
          <w:rFonts w:ascii="Arial" w:eastAsia="Times New Roman" w:hAnsi="Arial" w:cs="Arial"/>
          <w:sz w:val="24"/>
          <w:szCs w:val="24"/>
        </w:rPr>
        <w:t xml:space="preserve">an by taking risks on the stock </w:t>
      </w:r>
      <w:r>
        <w:rPr>
          <w:rFonts w:ascii="Arial" w:eastAsia="Times New Roman" w:hAnsi="Arial" w:cs="Arial"/>
          <w:sz w:val="24"/>
          <w:szCs w:val="24"/>
        </w:rPr>
        <w:t>market which few claimants can a</w:t>
      </w:r>
      <w:r w:rsidR="009C1770">
        <w:rPr>
          <w:rFonts w:ascii="Arial" w:eastAsia="Times New Roman" w:hAnsi="Arial" w:cs="Arial"/>
          <w:sz w:val="24"/>
          <w:szCs w:val="24"/>
        </w:rPr>
        <w:t>fford to do.</w:t>
      </w:r>
      <w:r w:rsidR="004A032D">
        <w:rPr>
          <w:rFonts w:ascii="Arial" w:eastAsia="Times New Roman" w:hAnsi="Arial" w:cs="Arial"/>
          <w:sz w:val="24"/>
          <w:szCs w:val="24"/>
        </w:rPr>
        <w:t xml:space="preserve"> </w:t>
      </w:r>
      <w:r w:rsidR="00C76E61" w:rsidRPr="00C21FAA">
        <w:rPr>
          <w:rFonts w:ascii="Arial" w:eastAsia="Times New Roman" w:hAnsi="Arial" w:cs="Arial"/>
          <w:sz w:val="24"/>
          <w:szCs w:val="24"/>
        </w:rPr>
        <w:t>This rate prevailed until</w:t>
      </w:r>
      <w:r w:rsidR="009C1770" w:rsidRPr="00C21FAA">
        <w:rPr>
          <w:rFonts w:ascii="Arial" w:eastAsia="Times New Roman" w:hAnsi="Arial" w:cs="Arial"/>
          <w:sz w:val="24"/>
          <w:szCs w:val="24"/>
        </w:rPr>
        <w:t xml:space="preserve"> </w:t>
      </w:r>
      <w:r w:rsidR="00C21FAA" w:rsidRPr="00C21FAA">
        <w:rPr>
          <w:rFonts w:ascii="Arial" w:eastAsia="Times New Roman" w:hAnsi="Arial" w:cs="Arial"/>
          <w:sz w:val="24"/>
          <w:szCs w:val="24"/>
        </w:rPr>
        <w:t>2017, when</w:t>
      </w:r>
      <w:r w:rsidR="004A032D" w:rsidRPr="00C21FAA">
        <w:rPr>
          <w:rFonts w:ascii="Arial" w:eastAsia="Times New Roman" w:hAnsi="Arial" w:cs="Arial"/>
          <w:sz w:val="24"/>
          <w:szCs w:val="24"/>
        </w:rPr>
        <w:t xml:space="preserve"> a</w:t>
      </w:r>
      <w:r w:rsidR="009C1770" w:rsidRPr="00C21FAA">
        <w:rPr>
          <w:rFonts w:ascii="Arial" w:eastAsia="Times New Roman" w:hAnsi="Arial" w:cs="Arial"/>
          <w:sz w:val="24"/>
          <w:szCs w:val="24"/>
        </w:rPr>
        <w:t>fter much lobbying, an MOJ consultation in 2012</w:t>
      </w:r>
      <w:r w:rsidRPr="00C21FAA">
        <w:rPr>
          <w:rFonts w:ascii="Arial" w:eastAsia="Times New Roman" w:hAnsi="Arial" w:cs="Arial"/>
          <w:sz w:val="24"/>
          <w:szCs w:val="24"/>
        </w:rPr>
        <w:t xml:space="preserve"> and a </w:t>
      </w:r>
      <w:r w:rsidR="009C1770" w:rsidRPr="00C21FAA">
        <w:rPr>
          <w:rFonts w:ascii="Arial" w:eastAsia="Times New Roman" w:hAnsi="Arial" w:cs="Arial"/>
          <w:sz w:val="24"/>
          <w:szCs w:val="24"/>
        </w:rPr>
        <w:t>threatened</w:t>
      </w:r>
      <w:r w:rsidRPr="00C21FAA">
        <w:rPr>
          <w:rFonts w:ascii="Arial" w:eastAsia="Times New Roman" w:hAnsi="Arial" w:cs="Arial"/>
          <w:sz w:val="24"/>
          <w:szCs w:val="24"/>
        </w:rPr>
        <w:t xml:space="preserve"> judicial review</w:t>
      </w:r>
      <w:r w:rsidR="00E44260" w:rsidRPr="00C21FAA">
        <w:rPr>
          <w:rFonts w:ascii="Arial" w:eastAsia="Times New Roman" w:hAnsi="Arial" w:cs="Arial"/>
          <w:sz w:val="24"/>
          <w:szCs w:val="24"/>
        </w:rPr>
        <w:t>,</w:t>
      </w:r>
      <w:r w:rsidRPr="00C21FAA">
        <w:rPr>
          <w:rFonts w:ascii="Arial" w:eastAsia="Times New Roman" w:hAnsi="Arial" w:cs="Arial"/>
          <w:sz w:val="24"/>
          <w:szCs w:val="24"/>
        </w:rPr>
        <w:t xml:space="preserve"> </w:t>
      </w:r>
      <w:r w:rsidR="00D8640A" w:rsidRPr="00C21FAA">
        <w:rPr>
          <w:rFonts w:ascii="Arial" w:eastAsia="Times New Roman" w:hAnsi="Arial" w:cs="Arial"/>
          <w:sz w:val="24"/>
          <w:szCs w:val="24"/>
        </w:rPr>
        <w:t xml:space="preserve">the then Lord Chancellor, Liz Truss MP, amended the rate to </w:t>
      </w:r>
      <w:r w:rsidR="00D02332" w:rsidRPr="00C21FAA">
        <w:rPr>
          <w:rStyle w:val="st1"/>
          <w:rFonts w:ascii="Arial" w:hAnsi="Arial" w:cs="Arial"/>
          <w:sz w:val="24"/>
          <w:szCs w:val="24"/>
        </w:rPr>
        <w:t>minus 0.75%</w:t>
      </w:r>
      <w:r w:rsidR="00B236A7" w:rsidRPr="00C21FAA">
        <w:rPr>
          <w:rStyle w:val="st1"/>
          <w:rFonts w:ascii="Arial" w:hAnsi="Arial" w:cs="Arial"/>
          <w:sz w:val="24"/>
          <w:szCs w:val="24"/>
        </w:rPr>
        <w:t>,</w:t>
      </w:r>
      <w:r w:rsidR="00D8640A" w:rsidRPr="00C21FAA">
        <w:rPr>
          <w:rStyle w:val="st1"/>
          <w:rFonts w:ascii="Arial" w:hAnsi="Arial" w:cs="Arial"/>
          <w:sz w:val="24"/>
          <w:szCs w:val="24"/>
        </w:rPr>
        <w:t xml:space="preserve"> effective from 20 March 2017</w:t>
      </w:r>
      <w:r w:rsidR="00735916" w:rsidRPr="00C21FAA">
        <w:rPr>
          <w:rStyle w:val="st1"/>
          <w:rFonts w:ascii="Arial" w:hAnsi="Arial" w:cs="Arial"/>
          <w:sz w:val="24"/>
          <w:szCs w:val="24"/>
        </w:rPr>
        <w:t>, much to the dismay of the insurance industry</w:t>
      </w:r>
      <w:r w:rsidR="00D8640A" w:rsidRPr="00C21FAA">
        <w:rPr>
          <w:rStyle w:val="st1"/>
          <w:rFonts w:ascii="Arial" w:hAnsi="Arial" w:cs="Arial"/>
          <w:sz w:val="24"/>
          <w:szCs w:val="24"/>
        </w:rPr>
        <w:t>.</w:t>
      </w:r>
    </w:p>
    <w:p w14:paraId="09138DE9" w14:textId="77777777" w:rsidR="005076D2" w:rsidRDefault="005076D2" w:rsidP="00B236A7">
      <w:pPr>
        <w:jc w:val="both"/>
        <w:rPr>
          <w:rStyle w:val="st1"/>
          <w:rFonts w:ascii="Arial" w:hAnsi="Arial" w:cs="Arial"/>
          <w:sz w:val="24"/>
          <w:szCs w:val="24"/>
        </w:rPr>
      </w:pPr>
    </w:p>
    <w:p w14:paraId="4E37CD3B" w14:textId="6E6AF8DE" w:rsidR="00FD7E6D" w:rsidRPr="00FD7E6D" w:rsidRDefault="00FD7E6D">
      <w:pPr>
        <w:jc w:val="both"/>
        <w:rPr>
          <w:rStyle w:val="st1"/>
          <w:rFonts w:ascii="Arial" w:hAnsi="Arial" w:cs="Arial"/>
          <w:sz w:val="24"/>
          <w:szCs w:val="24"/>
        </w:rPr>
      </w:pPr>
      <w:r>
        <w:rPr>
          <w:rStyle w:val="st1"/>
          <w:rFonts w:ascii="Arial" w:hAnsi="Arial" w:cs="Arial"/>
          <w:sz w:val="24"/>
          <w:szCs w:val="24"/>
        </w:rPr>
        <w:t>In December 2018, the Civil Liability Act 2018 received Royal Assent, introducing a change to the way that the PI discount rate is to be set in future, with reference to</w:t>
      </w:r>
      <w:r w:rsidR="00347EA5">
        <w:rPr>
          <w:rStyle w:val="st1"/>
          <w:rFonts w:ascii="Arial" w:hAnsi="Arial" w:cs="Arial"/>
          <w:sz w:val="24"/>
          <w:szCs w:val="24"/>
        </w:rPr>
        <w:t xml:space="preserve"> the return a c</w:t>
      </w:r>
      <w:r w:rsidR="00EB4F8E">
        <w:rPr>
          <w:rStyle w:val="st1"/>
          <w:rFonts w:ascii="Arial" w:hAnsi="Arial" w:cs="Arial"/>
          <w:sz w:val="24"/>
          <w:szCs w:val="24"/>
        </w:rPr>
        <w:t xml:space="preserve">laimant would reasonably expect to achieve if they invested in a “low risk” </w:t>
      </w:r>
      <w:r w:rsidR="00EB4F8E">
        <w:rPr>
          <w:rStyle w:val="st1"/>
          <w:rFonts w:ascii="Arial" w:hAnsi="Arial" w:cs="Arial"/>
          <w:sz w:val="24"/>
          <w:szCs w:val="24"/>
        </w:rPr>
        <w:lastRenderedPageBreak/>
        <w:t xml:space="preserve">(as opposed to risk-free) diversified portfolio. </w:t>
      </w:r>
      <w:r w:rsidR="007F7A89">
        <w:rPr>
          <w:rStyle w:val="st1"/>
          <w:rFonts w:ascii="Arial" w:hAnsi="Arial" w:cs="Arial"/>
          <w:sz w:val="24"/>
          <w:szCs w:val="24"/>
        </w:rPr>
        <w:t>This legislation sets out that t</w:t>
      </w:r>
      <w:r w:rsidR="00EB4F8E">
        <w:rPr>
          <w:rStyle w:val="st1"/>
          <w:rFonts w:ascii="Arial" w:hAnsi="Arial" w:cs="Arial"/>
          <w:sz w:val="24"/>
          <w:szCs w:val="24"/>
        </w:rPr>
        <w:t xml:space="preserve">he Lord </w:t>
      </w:r>
      <w:r w:rsidR="00EB4F8E" w:rsidRPr="007F7A89">
        <w:rPr>
          <w:rStyle w:val="st1"/>
          <w:rFonts w:ascii="Arial" w:hAnsi="Arial" w:cs="Arial"/>
          <w:sz w:val="24"/>
          <w:szCs w:val="24"/>
        </w:rPr>
        <w:t>Chancellor needs</w:t>
      </w:r>
      <w:r w:rsidR="00EB4F8E">
        <w:rPr>
          <w:rStyle w:val="st1"/>
          <w:rFonts w:ascii="Arial" w:hAnsi="Arial" w:cs="Arial"/>
          <w:sz w:val="24"/>
          <w:szCs w:val="24"/>
        </w:rPr>
        <w:t xml:space="preserve"> to have regard to </w:t>
      </w:r>
      <w:r w:rsidRPr="00FD7E6D">
        <w:rPr>
          <w:rStyle w:val="st1"/>
          <w:rFonts w:ascii="Arial" w:hAnsi="Arial" w:cs="Arial"/>
          <w:sz w:val="24"/>
          <w:szCs w:val="24"/>
        </w:rPr>
        <w:t>the actual</w:t>
      </w:r>
      <w:r w:rsidR="00EB4F8E">
        <w:rPr>
          <w:rStyle w:val="st1"/>
          <w:rFonts w:ascii="Arial" w:hAnsi="Arial" w:cs="Arial"/>
          <w:sz w:val="24"/>
          <w:szCs w:val="24"/>
        </w:rPr>
        <w:t xml:space="preserve"> investments made by claimants, available returns and allowance for tax, inflation and investment fees.</w:t>
      </w:r>
    </w:p>
    <w:p w14:paraId="4DC92301" w14:textId="3FD97E71" w:rsidR="00735916" w:rsidRDefault="00735916">
      <w:pPr>
        <w:jc w:val="both"/>
        <w:rPr>
          <w:rStyle w:val="st1"/>
          <w:rFonts w:ascii="Arial" w:hAnsi="Arial" w:cs="Arial"/>
          <w:sz w:val="24"/>
          <w:szCs w:val="24"/>
        </w:rPr>
      </w:pPr>
    </w:p>
    <w:p w14:paraId="3850BDA6" w14:textId="5A2B6695" w:rsidR="00254A4C" w:rsidRDefault="00735916" w:rsidP="00267A54">
      <w:pPr>
        <w:jc w:val="both"/>
        <w:rPr>
          <w:rStyle w:val="st1"/>
          <w:rFonts w:ascii="Arial" w:hAnsi="Arial" w:cs="Arial"/>
          <w:sz w:val="24"/>
          <w:szCs w:val="24"/>
        </w:rPr>
      </w:pPr>
      <w:r>
        <w:rPr>
          <w:rStyle w:val="st1"/>
          <w:rFonts w:ascii="Arial" w:hAnsi="Arial" w:cs="Arial"/>
          <w:sz w:val="24"/>
          <w:szCs w:val="24"/>
        </w:rPr>
        <w:t>A</w:t>
      </w:r>
      <w:r w:rsidR="00A6206A">
        <w:rPr>
          <w:rStyle w:val="st1"/>
          <w:rFonts w:ascii="Arial" w:hAnsi="Arial" w:cs="Arial"/>
          <w:sz w:val="24"/>
          <w:szCs w:val="24"/>
        </w:rPr>
        <w:t>n extensive review and</w:t>
      </w:r>
      <w:r>
        <w:rPr>
          <w:rStyle w:val="st1"/>
          <w:rFonts w:ascii="Arial" w:hAnsi="Arial" w:cs="Arial"/>
          <w:sz w:val="24"/>
          <w:szCs w:val="24"/>
        </w:rPr>
        <w:t xml:space="preserve"> consultation followed, </w:t>
      </w:r>
      <w:r w:rsidR="00D02332">
        <w:rPr>
          <w:rStyle w:val="st1"/>
          <w:rFonts w:ascii="Arial" w:hAnsi="Arial" w:cs="Arial"/>
          <w:sz w:val="24"/>
          <w:szCs w:val="24"/>
        </w:rPr>
        <w:t xml:space="preserve">after which </w:t>
      </w:r>
      <w:r>
        <w:rPr>
          <w:rStyle w:val="st1"/>
          <w:rFonts w:ascii="Arial" w:hAnsi="Arial" w:cs="Arial"/>
          <w:sz w:val="24"/>
          <w:szCs w:val="24"/>
        </w:rPr>
        <w:t>t</w:t>
      </w:r>
      <w:r w:rsidR="005A50B1" w:rsidRPr="00D8640A">
        <w:rPr>
          <w:rStyle w:val="st1"/>
          <w:rFonts w:ascii="Arial" w:hAnsi="Arial" w:cs="Arial"/>
          <w:sz w:val="24"/>
          <w:szCs w:val="24"/>
        </w:rPr>
        <w:t>he</w:t>
      </w:r>
      <w:r w:rsidR="00B236A7">
        <w:rPr>
          <w:rStyle w:val="st1"/>
          <w:rFonts w:ascii="Arial" w:hAnsi="Arial" w:cs="Arial"/>
          <w:sz w:val="24"/>
          <w:szCs w:val="24"/>
        </w:rPr>
        <w:t xml:space="preserve"> then</w:t>
      </w:r>
      <w:r w:rsidR="005A50B1" w:rsidRPr="00D8640A">
        <w:rPr>
          <w:rStyle w:val="st1"/>
          <w:rFonts w:ascii="Arial" w:hAnsi="Arial" w:cs="Arial"/>
          <w:sz w:val="24"/>
          <w:szCs w:val="24"/>
        </w:rPr>
        <w:t xml:space="preserve"> Lord Chancellor</w:t>
      </w:r>
      <w:r w:rsidR="00B236A7">
        <w:rPr>
          <w:rStyle w:val="st1"/>
          <w:rFonts w:ascii="Arial" w:hAnsi="Arial" w:cs="Arial"/>
          <w:sz w:val="24"/>
          <w:szCs w:val="24"/>
        </w:rPr>
        <w:t>, David Gauke MP,</w:t>
      </w:r>
      <w:r w:rsidR="005A50B1" w:rsidRPr="00D8640A">
        <w:rPr>
          <w:rStyle w:val="st1"/>
          <w:rFonts w:ascii="Arial" w:hAnsi="Arial" w:cs="Arial"/>
          <w:sz w:val="24"/>
          <w:szCs w:val="24"/>
        </w:rPr>
        <w:t xml:space="preserve"> announced on 15 July 2019 that the new </w:t>
      </w:r>
      <w:r w:rsidR="00347EA5">
        <w:rPr>
          <w:rStyle w:val="st1"/>
          <w:rFonts w:ascii="Arial" w:hAnsi="Arial" w:cs="Arial"/>
          <w:sz w:val="24"/>
          <w:szCs w:val="24"/>
        </w:rPr>
        <w:t xml:space="preserve">discount </w:t>
      </w:r>
      <w:r w:rsidR="005A50B1" w:rsidRPr="00D8640A">
        <w:rPr>
          <w:rStyle w:val="st1"/>
          <w:rFonts w:ascii="Arial" w:hAnsi="Arial" w:cs="Arial"/>
          <w:sz w:val="24"/>
          <w:szCs w:val="24"/>
        </w:rPr>
        <w:t>rate (</w:t>
      </w:r>
      <w:r>
        <w:rPr>
          <w:rStyle w:val="st1"/>
          <w:rFonts w:ascii="Arial" w:hAnsi="Arial" w:cs="Arial"/>
          <w:sz w:val="24"/>
          <w:szCs w:val="24"/>
        </w:rPr>
        <w:t xml:space="preserve">effective </w:t>
      </w:r>
      <w:r w:rsidR="00276A37" w:rsidRPr="00D8640A">
        <w:rPr>
          <w:rStyle w:val="st1"/>
          <w:rFonts w:ascii="Arial" w:hAnsi="Arial" w:cs="Arial"/>
          <w:sz w:val="24"/>
          <w:szCs w:val="24"/>
        </w:rPr>
        <w:t>from</w:t>
      </w:r>
      <w:r w:rsidR="005A50B1" w:rsidRPr="00D8640A">
        <w:rPr>
          <w:rStyle w:val="st1"/>
          <w:rFonts w:ascii="Arial" w:hAnsi="Arial" w:cs="Arial"/>
          <w:sz w:val="24"/>
          <w:szCs w:val="24"/>
        </w:rPr>
        <w:t xml:space="preserve"> </w:t>
      </w:r>
      <w:r w:rsidR="00276A37" w:rsidRPr="00D8640A">
        <w:rPr>
          <w:rStyle w:val="st1"/>
          <w:rFonts w:ascii="Arial" w:hAnsi="Arial" w:cs="Arial"/>
          <w:sz w:val="24"/>
          <w:szCs w:val="24"/>
        </w:rPr>
        <w:t>5</w:t>
      </w:r>
      <w:r w:rsidR="005A50B1" w:rsidRPr="00D8640A">
        <w:rPr>
          <w:rStyle w:val="st1"/>
          <w:rFonts w:ascii="Arial" w:hAnsi="Arial" w:cs="Arial"/>
          <w:sz w:val="24"/>
          <w:szCs w:val="24"/>
        </w:rPr>
        <w:t xml:space="preserve"> August 2019) </w:t>
      </w:r>
      <w:r w:rsidR="00347EA5">
        <w:rPr>
          <w:rStyle w:val="st1"/>
          <w:rFonts w:ascii="Arial" w:hAnsi="Arial" w:cs="Arial"/>
          <w:sz w:val="24"/>
          <w:szCs w:val="24"/>
        </w:rPr>
        <w:t>would</w:t>
      </w:r>
      <w:r>
        <w:rPr>
          <w:rStyle w:val="st1"/>
          <w:rFonts w:ascii="Arial" w:hAnsi="Arial" w:cs="Arial"/>
          <w:sz w:val="24"/>
          <w:szCs w:val="24"/>
        </w:rPr>
        <w:t xml:space="preserve"> be set at </w:t>
      </w:r>
      <w:r w:rsidRPr="00C40A8B">
        <w:rPr>
          <w:rStyle w:val="st1"/>
          <w:rFonts w:ascii="Arial" w:hAnsi="Arial" w:cs="Arial"/>
          <w:b/>
          <w:sz w:val="24"/>
          <w:szCs w:val="24"/>
        </w:rPr>
        <w:t>minus 0.25%.</w:t>
      </w:r>
      <w:r>
        <w:rPr>
          <w:rStyle w:val="st1"/>
          <w:rFonts w:ascii="Arial" w:hAnsi="Arial" w:cs="Arial"/>
          <w:sz w:val="24"/>
          <w:szCs w:val="24"/>
        </w:rPr>
        <w:t xml:space="preserve">  </w:t>
      </w:r>
    </w:p>
    <w:p w14:paraId="0C884C72" w14:textId="77777777" w:rsidR="00254A4C" w:rsidRDefault="00254A4C" w:rsidP="00B236A7">
      <w:pPr>
        <w:jc w:val="both"/>
        <w:rPr>
          <w:rStyle w:val="st1"/>
          <w:rFonts w:ascii="Arial" w:hAnsi="Arial" w:cs="Arial"/>
          <w:sz w:val="24"/>
          <w:szCs w:val="24"/>
        </w:rPr>
      </w:pPr>
    </w:p>
    <w:p w14:paraId="63E95B4C" w14:textId="77777777" w:rsidR="00E1256F" w:rsidRPr="00D8640A" w:rsidRDefault="00735916" w:rsidP="00B236A7">
      <w:pPr>
        <w:jc w:val="both"/>
        <w:rPr>
          <w:rStyle w:val="st1"/>
          <w:rFonts w:ascii="Arial" w:hAnsi="Arial" w:cs="Arial"/>
          <w:sz w:val="24"/>
          <w:szCs w:val="24"/>
        </w:rPr>
      </w:pPr>
      <w:r>
        <w:rPr>
          <w:rStyle w:val="st1"/>
          <w:rFonts w:ascii="Arial" w:hAnsi="Arial" w:cs="Arial"/>
          <w:sz w:val="24"/>
          <w:szCs w:val="24"/>
        </w:rPr>
        <w:t>Whilst this increased</w:t>
      </w:r>
      <w:r w:rsidR="005A50B1" w:rsidRPr="00D8640A">
        <w:rPr>
          <w:rStyle w:val="st1"/>
          <w:rFonts w:ascii="Arial" w:hAnsi="Arial" w:cs="Arial"/>
          <w:sz w:val="24"/>
          <w:szCs w:val="24"/>
        </w:rPr>
        <w:t xml:space="preserve"> the rate</w:t>
      </w:r>
      <w:r w:rsidR="00F34CE1">
        <w:rPr>
          <w:rStyle w:val="st1"/>
          <w:rFonts w:ascii="Arial" w:hAnsi="Arial" w:cs="Arial"/>
          <w:sz w:val="24"/>
          <w:szCs w:val="24"/>
        </w:rPr>
        <w:t xml:space="preserve"> by 0.5%</w:t>
      </w:r>
      <w:r>
        <w:rPr>
          <w:rStyle w:val="st1"/>
          <w:rFonts w:ascii="Arial" w:hAnsi="Arial" w:cs="Arial"/>
          <w:sz w:val="24"/>
          <w:szCs w:val="24"/>
        </w:rPr>
        <w:t xml:space="preserve">, </w:t>
      </w:r>
      <w:r w:rsidR="00D02332">
        <w:rPr>
          <w:rStyle w:val="st1"/>
          <w:rFonts w:ascii="Arial" w:hAnsi="Arial" w:cs="Arial"/>
          <w:sz w:val="24"/>
          <w:szCs w:val="24"/>
        </w:rPr>
        <w:t>it was not</w:t>
      </w:r>
      <w:r>
        <w:rPr>
          <w:rStyle w:val="st1"/>
          <w:rFonts w:ascii="Arial" w:hAnsi="Arial" w:cs="Arial"/>
          <w:sz w:val="24"/>
          <w:szCs w:val="24"/>
        </w:rPr>
        <w:t xml:space="preserve"> as high a level as had been predicted following the MOJ’s previous indication that the rate might be</w:t>
      </w:r>
      <w:r w:rsidR="000D7503">
        <w:rPr>
          <w:rStyle w:val="st1"/>
          <w:rFonts w:ascii="Arial" w:hAnsi="Arial" w:cs="Arial"/>
          <w:sz w:val="24"/>
          <w:szCs w:val="24"/>
        </w:rPr>
        <w:t xml:space="preserve"> back in positive territory,</w:t>
      </w:r>
      <w:r>
        <w:rPr>
          <w:rStyle w:val="st1"/>
          <w:rFonts w:ascii="Arial" w:hAnsi="Arial" w:cs="Arial"/>
          <w:sz w:val="24"/>
          <w:szCs w:val="24"/>
        </w:rPr>
        <w:t xml:space="preserve"> in the region of 0% to 1%</w:t>
      </w:r>
      <w:r w:rsidR="005A50B1" w:rsidRPr="00D8640A">
        <w:rPr>
          <w:rStyle w:val="st1"/>
          <w:rFonts w:ascii="Arial" w:hAnsi="Arial" w:cs="Arial"/>
          <w:sz w:val="24"/>
          <w:szCs w:val="24"/>
        </w:rPr>
        <w:t>.</w:t>
      </w:r>
    </w:p>
    <w:p w14:paraId="0A60610F" w14:textId="77777777" w:rsidR="00276A37" w:rsidRPr="000F45D4" w:rsidRDefault="00276A37" w:rsidP="00B236A7">
      <w:pPr>
        <w:jc w:val="both"/>
        <w:rPr>
          <w:rStyle w:val="st1"/>
          <w:rFonts w:ascii="Arial" w:hAnsi="Arial" w:cs="Arial"/>
          <w:sz w:val="24"/>
          <w:szCs w:val="24"/>
        </w:rPr>
      </w:pPr>
    </w:p>
    <w:p w14:paraId="2E7825E3" w14:textId="4E0B3A52" w:rsidR="00276A37" w:rsidRDefault="00276A37" w:rsidP="00B236A7">
      <w:pPr>
        <w:jc w:val="both"/>
        <w:rPr>
          <w:rStyle w:val="st1"/>
          <w:rFonts w:ascii="Arial" w:hAnsi="Arial" w:cs="Arial"/>
          <w:sz w:val="24"/>
          <w:szCs w:val="24"/>
        </w:rPr>
      </w:pPr>
      <w:r w:rsidRPr="000F45D4">
        <w:rPr>
          <w:rStyle w:val="st1"/>
          <w:rFonts w:ascii="Arial" w:hAnsi="Arial" w:cs="Arial"/>
          <w:sz w:val="24"/>
          <w:szCs w:val="24"/>
        </w:rPr>
        <w:t>The</w:t>
      </w:r>
      <w:r w:rsidR="00B236A7">
        <w:rPr>
          <w:rStyle w:val="st1"/>
          <w:rFonts w:ascii="Arial" w:hAnsi="Arial" w:cs="Arial"/>
          <w:sz w:val="24"/>
          <w:szCs w:val="24"/>
        </w:rPr>
        <w:t xml:space="preserve"> impact of this will be </w:t>
      </w:r>
      <w:r w:rsidR="00735916">
        <w:rPr>
          <w:rStyle w:val="st1"/>
          <w:rFonts w:ascii="Arial" w:hAnsi="Arial" w:cs="Arial"/>
          <w:sz w:val="24"/>
          <w:szCs w:val="24"/>
        </w:rPr>
        <w:t xml:space="preserve">that </w:t>
      </w:r>
      <w:r w:rsidR="002B67E5">
        <w:rPr>
          <w:rStyle w:val="st1"/>
          <w:rFonts w:ascii="Arial" w:hAnsi="Arial" w:cs="Arial"/>
          <w:sz w:val="24"/>
          <w:szCs w:val="24"/>
        </w:rPr>
        <w:t xml:space="preserve">when calculating future losses, </w:t>
      </w:r>
      <w:r w:rsidR="00B236A7">
        <w:rPr>
          <w:rStyle w:val="st1"/>
          <w:rFonts w:ascii="Arial" w:hAnsi="Arial" w:cs="Arial"/>
          <w:sz w:val="24"/>
          <w:szCs w:val="24"/>
        </w:rPr>
        <w:t xml:space="preserve">claimants </w:t>
      </w:r>
      <w:r w:rsidR="00735916">
        <w:rPr>
          <w:rStyle w:val="st1"/>
          <w:rFonts w:ascii="Arial" w:hAnsi="Arial" w:cs="Arial"/>
          <w:sz w:val="24"/>
          <w:szCs w:val="24"/>
        </w:rPr>
        <w:t xml:space="preserve">will need to apply a higher rate than has been in force for the last few years, but as it continues to be a </w:t>
      </w:r>
      <w:r w:rsidR="00FD490C">
        <w:rPr>
          <w:rStyle w:val="st1"/>
          <w:rFonts w:ascii="Arial" w:hAnsi="Arial" w:cs="Arial"/>
          <w:sz w:val="24"/>
          <w:szCs w:val="24"/>
        </w:rPr>
        <w:t>negative</w:t>
      </w:r>
      <w:r w:rsidR="0088000B">
        <w:rPr>
          <w:rStyle w:val="st1"/>
          <w:rFonts w:ascii="Arial" w:hAnsi="Arial" w:cs="Arial"/>
          <w:sz w:val="24"/>
          <w:szCs w:val="24"/>
        </w:rPr>
        <w:t xml:space="preserve"> rate</w:t>
      </w:r>
      <w:r w:rsidR="00735916">
        <w:rPr>
          <w:rStyle w:val="st1"/>
          <w:rFonts w:ascii="Arial" w:hAnsi="Arial" w:cs="Arial"/>
          <w:sz w:val="24"/>
          <w:szCs w:val="24"/>
        </w:rPr>
        <w:t>, the costs of receiving the money in advance</w:t>
      </w:r>
      <w:r w:rsidR="0088000B">
        <w:rPr>
          <w:rStyle w:val="st1"/>
          <w:rFonts w:ascii="Arial" w:hAnsi="Arial" w:cs="Arial"/>
          <w:sz w:val="24"/>
          <w:szCs w:val="24"/>
        </w:rPr>
        <w:t xml:space="preserve"> </w:t>
      </w:r>
      <w:r w:rsidR="00735916">
        <w:rPr>
          <w:rStyle w:val="st1"/>
          <w:rFonts w:ascii="Arial" w:hAnsi="Arial" w:cs="Arial"/>
          <w:sz w:val="24"/>
          <w:szCs w:val="24"/>
        </w:rPr>
        <w:t>are</w:t>
      </w:r>
      <w:r w:rsidR="00F34CE1">
        <w:rPr>
          <w:rStyle w:val="st1"/>
          <w:rFonts w:ascii="Arial" w:hAnsi="Arial" w:cs="Arial"/>
          <w:sz w:val="24"/>
          <w:szCs w:val="24"/>
        </w:rPr>
        <w:t xml:space="preserve"> still</w:t>
      </w:r>
      <w:r w:rsidR="00735916">
        <w:rPr>
          <w:rStyle w:val="st1"/>
          <w:rFonts w:ascii="Arial" w:hAnsi="Arial" w:cs="Arial"/>
          <w:sz w:val="24"/>
          <w:szCs w:val="24"/>
        </w:rPr>
        <w:t xml:space="preserve"> d</w:t>
      </w:r>
      <w:r w:rsidR="00F34CE1">
        <w:rPr>
          <w:rStyle w:val="st1"/>
          <w:rFonts w:ascii="Arial" w:hAnsi="Arial" w:cs="Arial"/>
          <w:sz w:val="24"/>
          <w:szCs w:val="24"/>
        </w:rPr>
        <w:t>eemed to outweigh the benefits</w:t>
      </w:r>
      <w:r w:rsidR="00822DDA">
        <w:rPr>
          <w:rStyle w:val="st1"/>
          <w:rFonts w:ascii="Arial" w:hAnsi="Arial" w:cs="Arial"/>
          <w:sz w:val="24"/>
          <w:szCs w:val="24"/>
        </w:rPr>
        <w:t xml:space="preserve"> of</w:t>
      </w:r>
      <w:r w:rsidR="00735916">
        <w:rPr>
          <w:rStyle w:val="st1"/>
          <w:rFonts w:ascii="Arial" w:hAnsi="Arial" w:cs="Arial"/>
          <w:sz w:val="24"/>
          <w:szCs w:val="24"/>
        </w:rPr>
        <w:t xml:space="preserve"> accelerate</w:t>
      </w:r>
      <w:r w:rsidR="00D02332">
        <w:rPr>
          <w:rStyle w:val="st1"/>
          <w:rFonts w:ascii="Arial" w:hAnsi="Arial" w:cs="Arial"/>
          <w:sz w:val="24"/>
          <w:szCs w:val="24"/>
        </w:rPr>
        <w:t>d</w:t>
      </w:r>
      <w:r w:rsidR="00735916">
        <w:rPr>
          <w:rStyle w:val="st1"/>
          <w:rFonts w:ascii="Arial" w:hAnsi="Arial" w:cs="Arial"/>
          <w:sz w:val="24"/>
          <w:szCs w:val="24"/>
        </w:rPr>
        <w:t xml:space="preserve"> receipt</w:t>
      </w:r>
      <w:r w:rsidR="005076D2">
        <w:rPr>
          <w:rStyle w:val="st1"/>
          <w:rFonts w:ascii="Arial" w:hAnsi="Arial" w:cs="Arial"/>
          <w:sz w:val="24"/>
          <w:szCs w:val="24"/>
        </w:rPr>
        <w:t xml:space="preserve"> – i</w:t>
      </w:r>
      <w:r w:rsidR="00E975F6">
        <w:rPr>
          <w:rStyle w:val="st1"/>
          <w:rFonts w:ascii="Arial" w:hAnsi="Arial" w:cs="Arial"/>
          <w:sz w:val="24"/>
          <w:szCs w:val="24"/>
        </w:rPr>
        <w:t>n</w:t>
      </w:r>
      <w:r w:rsidR="005076D2">
        <w:rPr>
          <w:rStyle w:val="st1"/>
          <w:rFonts w:ascii="Arial" w:hAnsi="Arial" w:cs="Arial"/>
          <w:sz w:val="24"/>
          <w:szCs w:val="24"/>
        </w:rPr>
        <w:t xml:space="preserve"> a nutshell interest on money held will not keep up with </w:t>
      </w:r>
      <w:r w:rsidR="00E739CC">
        <w:rPr>
          <w:rStyle w:val="st1"/>
          <w:rFonts w:ascii="Arial" w:hAnsi="Arial" w:cs="Arial"/>
          <w:sz w:val="24"/>
          <w:szCs w:val="24"/>
        </w:rPr>
        <w:t xml:space="preserve">tax and </w:t>
      </w:r>
      <w:r w:rsidR="005076D2">
        <w:rPr>
          <w:rStyle w:val="st1"/>
          <w:rFonts w:ascii="Arial" w:hAnsi="Arial" w:cs="Arial"/>
          <w:sz w:val="24"/>
          <w:szCs w:val="24"/>
        </w:rPr>
        <w:t>inflationary pressures</w:t>
      </w:r>
      <w:r w:rsidR="00E44260">
        <w:rPr>
          <w:rStyle w:val="st1"/>
          <w:rFonts w:ascii="Arial" w:hAnsi="Arial" w:cs="Arial"/>
          <w:sz w:val="24"/>
          <w:szCs w:val="24"/>
        </w:rPr>
        <w:t xml:space="preserve"> </w:t>
      </w:r>
      <w:r w:rsidR="00E739CC">
        <w:rPr>
          <w:rStyle w:val="st1"/>
          <w:rFonts w:ascii="Arial" w:hAnsi="Arial" w:cs="Arial"/>
          <w:sz w:val="24"/>
          <w:szCs w:val="24"/>
        </w:rPr>
        <w:t>or</w:t>
      </w:r>
      <w:r w:rsidR="00E44260">
        <w:rPr>
          <w:rStyle w:val="st1"/>
          <w:rFonts w:ascii="Arial" w:hAnsi="Arial" w:cs="Arial"/>
          <w:sz w:val="24"/>
          <w:szCs w:val="24"/>
        </w:rPr>
        <w:t xml:space="preserve"> costs of investment</w:t>
      </w:r>
      <w:r w:rsidR="005076D2">
        <w:rPr>
          <w:rStyle w:val="st1"/>
          <w:rFonts w:ascii="Arial" w:hAnsi="Arial" w:cs="Arial"/>
          <w:sz w:val="24"/>
          <w:szCs w:val="24"/>
        </w:rPr>
        <w:t xml:space="preserve">. </w:t>
      </w:r>
    </w:p>
    <w:p w14:paraId="52523A19" w14:textId="77777777" w:rsidR="00735916" w:rsidRDefault="00735916" w:rsidP="00B236A7">
      <w:pPr>
        <w:jc w:val="both"/>
        <w:rPr>
          <w:rStyle w:val="st1"/>
          <w:rFonts w:ascii="Arial" w:hAnsi="Arial" w:cs="Arial"/>
          <w:sz w:val="24"/>
          <w:szCs w:val="24"/>
        </w:rPr>
      </w:pPr>
    </w:p>
    <w:p w14:paraId="378BB99C" w14:textId="77777777" w:rsidR="00735916" w:rsidRDefault="00E739CC" w:rsidP="00B236A7">
      <w:pPr>
        <w:jc w:val="both"/>
        <w:rPr>
          <w:rStyle w:val="st1"/>
          <w:rFonts w:ascii="Arial" w:hAnsi="Arial" w:cs="Arial"/>
          <w:sz w:val="24"/>
          <w:szCs w:val="24"/>
        </w:rPr>
      </w:pPr>
      <w:r>
        <w:rPr>
          <w:rStyle w:val="st1"/>
          <w:rFonts w:ascii="Arial" w:hAnsi="Arial" w:cs="Arial"/>
          <w:sz w:val="24"/>
          <w:szCs w:val="24"/>
        </w:rPr>
        <w:t>Below is a</w:t>
      </w:r>
      <w:r w:rsidR="00735916">
        <w:rPr>
          <w:rStyle w:val="st1"/>
          <w:rFonts w:ascii="Arial" w:hAnsi="Arial" w:cs="Arial"/>
          <w:sz w:val="24"/>
          <w:szCs w:val="24"/>
        </w:rPr>
        <w:t>n illustration of a future lifetime care calculatio</w:t>
      </w:r>
      <w:r w:rsidR="00B1355A">
        <w:rPr>
          <w:rStyle w:val="st1"/>
          <w:rFonts w:ascii="Arial" w:hAnsi="Arial" w:cs="Arial"/>
          <w:sz w:val="24"/>
          <w:szCs w:val="24"/>
        </w:rPr>
        <w:t>n of £1</w:t>
      </w:r>
      <w:r w:rsidR="0088000B">
        <w:rPr>
          <w:rStyle w:val="st1"/>
          <w:rFonts w:ascii="Arial" w:hAnsi="Arial" w:cs="Arial"/>
          <w:sz w:val="24"/>
          <w:szCs w:val="24"/>
        </w:rPr>
        <w:t>0,000 per annum for a 30</w:t>
      </w:r>
      <w:r w:rsidR="00735916">
        <w:rPr>
          <w:rStyle w:val="st1"/>
          <w:rFonts w:ascii="Arial" w:hAnsi="Arial" w:cs="Arial"/>
          <w:sz w:val="24"/>
          <w:szCs w:val="24"/>
        </w:rPr>
        <w:t xml:space="preserve"> year old male</w:t>
      </w:r>
      <w:r w:rsidR="00A6206A">
        <w:rPr>
          <w:rStyle w:val="st1"/>
          <w:rFonts w:ascii="Arial" w:hAnsi="Arial" w:cs="Arial"/>
          <w:sz w:val="24"/>
          <w:szCs w:val="24"/>
        </w:rPr>
        <w:t xml:space="preserve"> showing the impact of the change in the discount rate</w:t>
      </w:r>
      <w:r w:rsidR="00735916">
        <w:rPr>
          <w:rStyle w:val="st1"/>
          <w:rFonts w:ascii="Arial" w:hAnsi="Arial" w:cs="Arial"/>
          <w:sz w:val="24"/>
          <w:szCs w:val="24"/>
        </w:rPr>
        <w:t>:</w:t>
      </w:r>
    </w:p>
    <w:p w14:paraId="065C5810" w14:textId="77777777" w:rsidR="00735916" w:rsidRDefault="00735916" w:rsidP="00B236A7">
      <w:pPr>
        <w:jc w:val="both"/>
        <w:rPr>
          <w:rStyle w:val="st1"/>
          <w:rFonts w:ascii="Arial" w:hAnsi="Arial" w:cs="Arial"/>
          <w:sz w:val="24"/>
          <w:szCs w:val="24"/>
        </w:rPr>
      </w:pPr>
    </w:p>
    <w:tbl>
      <w:tblPr>
        <w:tblStyle w:val="TableGrid"/>
        <w:tblW w:w="0" w:type="auto"/>
        <w:tblInd w:w="448" w:type="dxa"/>
        <w:tblLook w:val="04A0" w:firstRow="1" w:lastRow="0" w:firstColumn="1" w:lastColumn="0" w:noHBand="0" w:noVBand="1"/>
      </w:tblPr>
      <w:tblGrid>
        <w:gridCol w:w="2561"/>
        <w:gridCol w:w="2790"/>
        <w:gridCol w:w="2790"/>
      </w:tblGrid>
      <w:tr w:rsidR="00D02332" w:rsidRPr="0088000B" w14:paraId="61E1BB27" w14:textId="77777777" w:rsidTr="00254A4C">
        <w:tc>
          <w:tcPr>
            <w:tcW w:w="2561" w:type="dxa"/>
          </w:tcPr>
          <w:p w14:paraId="1FAB0EBE" w14:textId="77777777" w:rsidR="00D02332" w:rsidRPr="0088000B" w:rsidRDefault="00D02332" w:rsidP="00AC7895">
            <w:pPr>
              <w:jc w:val="both"/>
              <w:rPr>
                <w:rStyle w:val="st1"/>
                <w:rFonts w:ascii="Arial" w:hAnsi="Arial" w:cs="Arial"/>
                <w:sz w:val="24"/>
                <w:szCs w:val="24"/>
              </w:rPr>
            </w:pPr>
          </w:p>
        </w:tc>
        <w:tc>
          <w:tcPr>
            <w:tcW w:w="2790" w:type="dxa"/>
            <w:shd w:val="clear" w:color="auto" w:fill="D9D9D9" w:themeFill="background1" w:themeFillShade="D9"/>
          </w:tcPr>
          <w:p w14:paraId="006159F5" w14:textId="77777777" w:rsidR="00D02332" w:rsidRPr="0088000B" w:rsidRDefault="00D02332" w:rsidP="00D02332">
            <w:pPr>
              <w:jc w:val="both"/>
              <w:rPr>
                <w:rStyle w:val="st1"/>
                <w:rFonts w:ascii="Arial" w:hAnsi="Arial" w:cs="Arial"/>
                <w:sz w:val="24"/>
                <w:szCs w:val="24"/>
              </w:rPr>
            </w:pPr>
            <w:r w:rsidRPr="0088000B">
              <w:rPr>
                <w:rStyle w:val="st1"/>
                <w:rFonts w:ascii="Arial" w:hAnsi="Arial" w:cs="Arial"/>
                <w:sz w:val="24"/>
                <w:szCs w:val="24"/>
              </w:rPr>
              <w:t>-0.75% (</w:t>
            </w:r>
            <w:r>
              <w:rPr>
                <w:rStyle w:val="st1"/>
                <w:rFonts w:ascii="Arial" w:hAnsi="Arial" w:cs="Arial"/>
                <w:sz w:val="24"/>
                <w:szCs w:val="24"/>
              </w:rPr>
              <w:t>current</w:t>
            </w:r>
            <w:r w:rsidRPr="0088000B">
              <w:rPr>
                <w:rStyle w:val="st1"/>
                <w:rFonts w:ascii="Arial" w:hAnsi="Arial" w:cs="Arial"/>
                <w:sz w:val="24"/>
                <w:szCs w:val="24"/>
              </w:rPr>
              <w:t xml:space="preserve"> rate)</w:t>
            </w:r>
          </w:p>
        </w:tc>
        <w:tc>
          <w:tcPr>
            <w:tcW w:w="2790" w:type="dxa"/>
            <w:shd w:val="clear" w:color="auto" w:fill="D9D9D9" w:themeFill="background1" w:themeFillShade="D9"/>
          </w:tcPr>
          <w:p w14:paraId="31C4B1B2" w14:textId="77777777" w:rsidR="00D02332" w:rsidRPr="0088000B" w:rsidRDefault="00D02332" w:rsidP="00AC7895">
            <w:pPr>
              <w:jc w:val="both"/>
              <w:rPr>
                <w:rStyle w:val="st1"/>
                <w:rFonts w:ascii="Arial" w:hAnsi="Arial" w:cs="Arial"/>
                <w:sz w:val="24"/>
                <w:szCs w:val="24"/>
              </w:rPr>
            </w:pPr>
            <w:r>
              <w:rPr>
                <w:rStyle w:val="st1"/>
                <w:rFonts w:ascii="Arial" w:hAnsi="Arial" w:cs="Arial"/>
                <w:sz w:val="24"/>
                <w:szCs w:val="24"/>
              </w:rPr>
              <w:t>-0.25% (new rate as at 5 August 2019)</w:t>
            </w:r>
          </w:p>
        </w:tc>
      </w:tr>
      <w:tr w:rsidR="00D02332" w:rsidRPr="0088000B" w14:paraId="3D759E06" w14:textId="77777777" w:rsidTr="00254A4C">
        <w:tc>
          <w:tcPr>
            <w:tcW w:w="2561" w:type="dxa"/>
            <w:shd w:val="clear" w:color="auto" w:fill="F2F2F2" w:themeFill="background1" w:themeFillShade="F2"/>
          </w:tcPr>
          <w:p w14:paraId="2BD5A5F4" w14:textId="77777777" w:rsidR="00D02332" w:rsidRDefault="00D02332" w:rsidP="00D02332">
            <w:pPr>
              <w:jc w:val="both"/>
              <w:rPr>
                <w:rStyle w:val="st1"/>
                <w:rFonts w:ascii="Arial" w:hAnsi="Arial" w:cs="Arial"/>
                <w:sz w:val="24"/>
                <w:szCs w:val="24"/>
              </w:rPr>
            </w:pPr>
            <w:r>
              <w:rPr>
                <w:rStyle w:val="st1"/>
                <w:rFonts w:ascii="Arial" w:hAnsi="Arial" w:cs="Arial"/>
                <w:sz w:val="24"/>
                <w:szCs w:val="24"/>
              </w:rPr>
              <w:t>Lifetime multiplier</w:t>
            </w:r>
          </w:p>
        </w:tc>
        <w:tc>
          <w:tcPr>
            <w:tcW w:w="2790" w:type="dxa"/>
          </w:tcPr>
          <w:p w14:paraId="3E4C52DD" w14:textId="77777777" w:rsidR="00D02332" w:rsidRPr="0088000B" w:rsidRDefault="00D02332" w:rsidP="00D02332">
            <w:pPr>
              <w:jc w:val="both"/>
              <w:rPr>
                <w:rStyle w:val="st1"/>
                <w:rFonts w:ascii="Arial" w:hAnsi="Arial" w:cs="Arial"/>
                <w:sz w:val="24"/>
                <w:szCs w:val="24"/>
              </w:rPr>
            </w:pPr>
            <w:r>
              <w:rPr>
                <w:rStyle w:val="st1"/>
                <w:rFonts w:ascii="Arial" w:hAnsi="Arial" w:cs="Arial"/>
                <w:sz w:val="24"/>
                <w:szCs w:val="24"/>
              </w:rPr>
              <w:t xml:space="preserve">71.43 </w:t>
            </w:r>
          </w:p>
        </w:tc>
        <w:tc>
          <w:tcPr>
            <w:tcW w:w="2790" w:type="dxa"/>
          </w:tcPr>
          <w:p w14:paraId="1113BE3B" w14:textId="77777777" w:rsidR="00D02332" w:rsidRPr="0088000B" w:rsidRDefault="00D02332" w:rsidP="00AC7895">
            <w:pPr>
              <w:jc w:val="both"/>
              <w:rPr>
                <w:rStyle w:val="st1"/>
                <w:rFonts w:ascii="Arial" w:hAnsi="Arial" w:cs="Arial"/>
                <w:sz w:val="24"/>
                <w:szCs w:val="24"/>
              </w:rPr>
            </w:pPr>
            <w:r>
              <w:rPr>
                <w:rStyle w:val="st1"/>
                <w:rFonts w:ascii="Arial" w:hAnsi="Arial" w:cs="Arial"/>
                <w:sz w:val="24"/>
                <w:szCs w:val="24"/>
              </w:rPr>
              <w:t>60.83</w:t>
            </w:r>
          </w:p>
        </w:tc>
      </w:tr>
      <w:tr w:rsidR="00D02332" w:rsidRPr="0088000B" w14:paraId="0C309593" w14:textId="77777777" w:rsidTr="00254A4C">
        <w:tc>
          <w:tcPr>
            <w:tcW w:w="2561" w:type="dxa"/>
            <w:shd w:val="clear" w:color="auto" w:fill="F2F2F2" w:themeFill="background1" w:themeFillShade="F2"/>
          </w:tcPr>
          <w:p w14:paraId="643C15AF" w14:textId="77777777" w:rsidR="00D02332" w:rsidRDefault="00D02332" w:rsidP="00AC7895">
            <w:pPr>
              <w:jc w:val="both"/>
              <w:rPr>
                <w:rFonts w:ascii="Arial" w:hAnsi="Arial" w:cs="Arial"/>
                <w:sz w:val="24"/>
                <w:szCs w:val="24"/>
              </w:rPr>
            </w:pPr>
            <w:r>
              <w:rPr>
                <w:rFonts w:ascii="Arial" w:hAnsi="Arial" w:cs="Arial"/>
                <w:sz w:val="24"/>
                <w:szCs w:val="24"/>
              </w:rPr>
              <w:t>Future care</w:t>
            </w:r>
          </w:p>
        </w:tc>
        <w:tc>
          <w:tcPr>
            <w:tcW w:w="2790" w:type="dxa"/>
          </w:tcPr>
          <w:p w14:paraId="7018BBAE" w14:textId="77777777" w:rsidR="00D02332" w:rsidRPr="0088000B" w:rsidRDefault="00D02332" w:rsidP="00AC7895">
            <w:pPr>
              <w:jc w:val="both"/>
              <w:rPr>
                <w:rFonts w:ascii="Arial" w:hAnsi="Arial" w:cs="Arial"/>
                <w:sz w:val="24"/>
                <w:szCs w:val="24"/>
              </w:rPr>
            </w:pPr>
            <w:r>
              <w:rPr>
                <w:rFonts w:ascii="Arial" w:hAnsi="Arial" w:cs="Arial"/>
                <w:sz w:val="24"/>
                <w:szCs w:val="24"/>
              </w:rPr>
              <w:t>£714,300</w:t>
            </w:r>
          </w:p>
        </w:tc>
        <w:tc>
          <w:tcPr>
            <w:tcW w:w="2790" w:type="dxa"/>
          </w:tcPr>
          <w:p w14:paraId="7FE4EBA2" w14:textId="77777777" w:rsidR="00D02332" w:rsidRPr="0088000B" w:rsidRDefault="00D02332" w:rsidP="00AC7895">
            <w:pPr>
              <w:jc w:val="both"/>
              <w:rPr>
                <w:rFonts w:ascii="Arial" w:hAnsi="Arial" w:cs="Arial"/>
                <w:sz w:val="24"/>
                <w:szCs w:val="24"/>
              </w:rPr>
            </w:pPr>
            <w:r>
              <w:rPr>
                <w:rFonts w:ascii="Arial" w:hAnsi="Arial" w:cs="Arial"/>
                <w:sz w:val="24"/>
                <w:szCs w:val="24"/>
              </w:rPr>
              <w:t>£608,300</w:t>
            </w:r>
          </w:p>
        </w:tc>
      </w:tr>
    </w:tbl>
    <w:p w14:paraId="3EE6D549" w14:textId="77777777" w:rsidR="00386232" w:rsidRDefault="00386232" w:rsidP="00A6206A">
      <w:pPr>
        <w:jc w:val="both"/>
        <w:rPr>
          <w:rFonts w:ascii="Arial" w:hAnsi="Arial" w:cs="Arial"/>
          <w:sz w:val="24"/>
          <w:szCs w:val="24"/>
        </w:rPr>
      </w:pPr>
    </w:p>
    <w:p w14:paraId="389123CB" w14:textId="77777777" w:rsidR="002B67E5" w:rsidRDefault="002B67E5" w:rsidP="00A6206A">
      <w:pPr>
        <w:jc w:val="both"/>
        <w:rPr>
          <w:rFonts w:ascii="Arial" w:hAnsi="Arial" w:cs="Arial"/>
          <w:sz w:val="24"/>
          <w:szCs w:val="24"/>
        </w:rPr>
      </w:pPr>
      <w:r>
        <w:rPr>
          <w:rFonts w:ascii="Arial" w:hAnsi="Arial" w:cs="Arial"/>
          <w:sz w:val="24"/>
          <w:szCs w:val="24"/>
        </w:rPr>
        <w:t>This results in a reduction to the pleaded claim of £106,000 for that head of loss.</w:t>
      </w:r>
      <w:r w:rsidR="005076D2">
        <w:rPr>
          <w:rFonts w:ascii="Arial" w:hAnsi="Arial" w:cs="Arial"/>
          <w:sz w:val="24"/>
          <w:szCs w:val="24"/>
        </w:rPr>
        <w:t xml:space="preserve"> It is </w:t>
      </w:r>
      <w:r w:rsidR="005076D2" w:rsidRPr="00C21FAA">
        <w:rPr>
          <w:rFonts w:ascii="Arial" w:hAnsi="Arial" w:cs="Arial"/>
          <w:sz w:val="24"/>
          <w:szCs w:val="24"/>
        </w:rPr>
        <w:t>perhaps</w:t>
      </w:r>
      <w:r w:rsidR="00E739CC" w:rsidRPr="00C21FAA">
        <w:rPr>
          <w:rFonts w:ascii="Arial" w:hAnsi="Arial" w:cs="Arial"/>
          <w:sz w:val="24"/>
          <w:szCs w:val="24"/>
        </w:rPr>
        <w:t xml:space="preserve"> </w:t>
      </w:r>
      <w:r w:rsidR="00C76E61" w:rsidRPr="00C21FAA">
        <w:rPr>
          <w:rFonts w:ascii="Arial" w:hAnsi="Arial" w:cs="Arial"/>
          <w:sz w:val="24"/>
          <w:szCs w:val="24"/>
        </w:rPr>
        <w:t>also</w:t>
      </w:r>
      <w:r w:rsidR="00C76E61">
        <w:rPr>
          <w:rFonts w:ascii="Arial" w:hAnsi="Arial" w:cs="Arial"/>
          <w:b/>
          <w:sz w:val="24"/>
          <w:szCs w:val="24"/>
        </w:rPr>
        <w:t xml:space="preserve"> </w:t>
      </w:r>
      <w:r w:rsidR="00E739CC">
        <w:rPr>
          <w:rFonts w:ascii="Arial" w:hAnsi="Arial" w:cs="Arial"/>
          <w:sz w:val="24"/>
          <w:szCs w:val="24"/>
        </w:rPr>
        <w:t xml:space="preserve">worth comparing this with the </w:t>
      </w:r>
      <w:r w:rsidR="005076D2">
        <w:rPr>
          <w:rFonts w:ascii="Arial" w:hAnsi="Arial" w:cs="Arial"/>
          <w:sz w:val="24"/>
          <w:szCs w:val="24"/>
        </w:rPr>
        <w:t xml:space="preserve">2.5% rate where the claimant would have </w:t>
      </w:r>
      <w:r w:rsidR="00E44260">
        <w:rPr>
          <w:rFonts w:ascii="Arial" w:hAnsi="Arial" w:cs="Arial"/>
          <w:sz w:val="24"/>
          <w:szCs w:val="24"/>
        </w:rPr>
        <w:t xml:space="preserve">previously </w:t>
      </w:r>
      <w:r w:rsidR="005076D2">
        <w:rPr>
          <w:rFonts w:ascii="Arial" w:hAnsi="Arial" w:cs="Arial"/>
          <w:sz w:val="24"/>
          <w:szCs w:val="24"/>
        </w:rPr>
        <w:t>received</w:t>
      </w:r>
      <w:r w:rsidR="00E975F6">
        <w:rPr>
          <w:rFonts w:ascii="Arial" w:hAnsi="Arial" w:cs="Arial"/>
          <w:sz w:val="24"/>
          <w:szCs w:val="24"/>
        </w:rPr>
        <w:t xml:space="preserve"> £296,000 (£418,300 less) o</w:t>
      </w:r>
      <w:r w:rsidR="005076D2">
        <w:rPr>
          <w:rFonts w:ascii="Arial" w:hAnsi="Arial" w:cs="Arial"/>
          <w:sz w:val="24"/>
          <w:szCs w:val="24"/>
        </w:rPr>
        <w:t>n a mu</w:t>
      </w:r>
      <w:r w:rsidR="00E975F6">
        <w:rPr>
          <w:rFonts w:ascii="Arial" w:hAnsi="Arial" w:cs="Arial"/>
          <w:sz w:val="24"/>
          <w:szCs w:val="24"/>
        </w:rPr>
        <w:t>lt</w:t>
      </w:r>
      <w:r w:rsidR="005076D2">
        <w:rPr>
          <w:rFonts w:ascii="Arial" w:hAnsi="Arial" w:cs="Arial"/>
          <w:sz w:val="24"/>
          <w:szCs w:val="24"/>
        </w:rPr>
        <w:t xml:space="preserve">iplier of </w:t>
      </w:r>
      <w:r w:rsidR="00E975F6">
        <w:rPr>
          <w:rFonts w:ascii="Arial" w:hAnsi="Arial" w:cs="Arial"/>
          <w:sz w:val="24"/>
          <w:szCs w:val="24"/>
        </w:rPr>
        <w:t>29.60.</w:t>
      </w:r>
      <w:r w:rsidR="00CE50EB">
        <w:rPr>
          <w:rFonts w:ascii="Arial" w:hAnsi="Arial" w:cs="Arial"/>
          <w:sz w:val="24"/>
          <w:szCs w:val="24"/>
        </w:rPr>
        <w:t xml:space="preserve">  </w:t>
      </w:r>
    </w:p>
    <w:p w14:paraId="3316E728" w14:textId="77777777" w:rsidR="002B67E5" w:rsidRDefault="002B67E5" w:rsidP="00A6206A">
      <w:pPr>
        <w:jc w:val="both"/>
        <w:rPr>
          <w:rFonts w:ascii="Arial" w:hAnsi="Arial" w:cs="Arial"/>
          <w:sz w:val="24"/>
          <w:szCs w:val="24"/>
        </w:rPr>
      </w:pPr>
    </w:p>
    <w:p w14:paraId="10AEBD28" w14:textId="77777777" w:rsidR="002B67E5" w:rsidRDefault="004A382E" w:rsidP="002B67E5">
      <w:pPr>
        <w:jc w:val="both"/>
        <w:rPr>
          <w:rStyle w:val="st1"/>
          <w:rFonts w:ascii="Arial" w:hAnsi="Arial" w:cs="Arial"/>
          <w:sz w:val="24"/>
          <w:szCs w:val="24"/>
        </w:rPr>
      </w:pPr>
      <w:r>
        <w:rPr>
          <w:rStyle w:val="st1"/>
          <w:rFonts w:ascii="Arial" w:hAnsi="Arial" w:cs="Arial"/>
          <w:sz w:val="24"/>
          <w:szCs w:val="24"/>
        </w:rPr>
        <w:t>U</w:t>
      </w:r>
      <w:r w:rsidR="002B67E5">
        <w:rPr>
          <w:rStyle w:val="st1"/>
          <w:rFonts w:ascii="Arial" w:hAnsi="Arial" w:cs="Arial"/>
          <w:sz w:val="24"/>
          <w:szCs w:val="24"/>
        </w:rPr>
        <w:t xml:space="preserve">ltimately damages for </w:t>
      </w:r>
      <w:r w:rsidR="00E975F6">
        <w:rPr>
          <w:rStyle w:val="st1"/>
          <w:rFonts w:ascii="Arial" w:hAnsi="Arial" w:cs="Arial"/>
          <w:sz w:val="24"/>
          <w:szCs w:val="24"/>
        </w:rPr>
        <w:t xml:space="preserve">lump sum </w:t>
      </w:r>
      <w:r w:rsidR="002B67E5">
        <w:rPr>
          <w:rStyle w:val="st1"/>
          <w:rFonts w:ascii="Arial" w:hAnsi="Arial" w:cs="Arial"/>
          <w:sz w:val="24"/>
          <w:szCs w:val="24"/>
        </w:rPr>
        <w:t xml:space="preserve">future losses will be lower than under the current rate, but the impact has not been as bad as claimants feared.  </w:t>
      </w:r>
    </w:p>
    <w:p w14:paraId="1A9B4FEC" w14:textId="77777777" w:rsidR="00E975F6" w:rsidRDefault="00E975F6" w:rsidP="002B67E5">
      <w:pPr>
        <w:jc w:val="both"/>
        <w:rPr>
          <w:rStyle w:val="st1"/>
          <w:rFonts w:ascii="Arial" w:hAnsi="Arial" w:cs="Arial"/>
          <w:sz w:val="24"/>
          <w:szCs w:val="24"/>
        </w:rPr>
      </w:pPr>
    </w:p>
    <w:p w14:paraId="5355C08A" w14:textId="77777777" w:rsidR="00E975F6" w:rsidRDefault="00E975F6" w:rsidP="002B67E5">
      <w:pPr>
        <w:jc w:val="both"/>
        <w:rPr>
          <w:rStyle w:val="st1"/>
          <w:rFonts w:ascii="Arial" w:hAnsi="Arial" w:cs="Arial"/>
          <w:sz w:val="24"/>
          <w:szCs w:val="24"/>
        </w:rPr>
      </w:pPr>
      <w:r>
        <w:rPr>
          <w:rStyle w:val="st1"/>
          <w:rFonts w:ascii="Arial" w:hAnsi="Arial" w:cs="Arial"/>
          <w:sz w:val="24"/>
          <w:szCs w:val="24"/>
        </w:rPr>
        <w:t>The discount rate only applies to those who are re</w:t>
      </w:r>
      <w:r w:rsidR="00C17ECE">
        <w:rPr>
          <w:rStyle w:val="st1"/>
          <w:rFonts w:ascii="Arial" w:hAnsi="Arial" w:cs="Arial"/>
          <w:sz w:val="24"/>
          <w:szCs w:val="24"/>
        </w:rPr>
        <w:t xml:space="preserve">ceiving their future losses in lump sum form.  </w:t>
      </w:r>
      <w:r w:rsidR="004A382E">
        <w:rPr>
          <w:rStyle w:val="st1"/>
          <w:rFonts w:ascii="Arial" w:hAnsi="Arial" w:cs="Arial"/>
          <w:sz w:val="24"/>
          <w:szCs w:val="24"/>
        </w:rPr>
        <w:t>It is c</w:t>
      </w:r>
      <w:r w:rsidR="00C17ECE">
        <w:rPr>
          <w:rStyle w:val="st1"/>
          <w:rFonts w:ascii="Arial" w:hAnsi="Arial" w:cs="Arial"/>
          <w:sz w:val="24"/>
          <w:szCs w:val="24"/>
        </w:rPr>
        <w:t xml:space="preserve">ommonplace </w:t>
      </w:r>
      <w:r w:rsidR="004A382E">
        <w:rPr>
          <w:rStyle w:val="st1"/>
          <w:rFonts w:ascii="Arial" w:hAnsi="Arial" w:cs="Arial"/>
          <w:sz w:val="24"/>
          <w:szCs w:val="24"/>
        </w:rPr>
        <w:t>in</w:t>
      </w:r>
      <w:r w:rsidR="00C17ECE">
        <w:rPr>
          <w:rStyle w:val="st1"/>
          <w:rFonts w:ascii="Arial" w:hAnsi="Arial" w:cs="Arial"/>
          <w:sz w:val="24"/>
          <w:szCs w:val="24"/>
        </w:rPr>
        <w:t xml:space="preserve"> a serious injury settlement that the future losses, particularly care and case management costs, </w:t>
      </w:r>
      <w:r w:rsidR="0052595E">
        <w:rPr>
          <w:rStyle w:val="st1"/>
          <w:rFonts w:ascii="Arial" w:hAnsi="Arial" w:cs="Arial"/>
          <w:sz w:val="24"/>
          <w:szCs w:val="24"/>
        </w:rPr>
        <w:t>are</w:t>
      </w:r>
      <w:r w:rsidR="00C17ECE">
        <w:rPr>
          <w:rStyle w:val="st1"/>
          <w:rFonts w:ascii="Arial" w:hAnsi="Arial" w:cs="Arial"/>
          <w:sz w:val="24"/>
          <w:szCs w:val="24"/>
        </w:rPr>
        <w:t xml:space="preserve"> paid to the claimant annually for life by way of a periodical payments order (PPO).  This means that the claimant has certainty that the payment will continue for the rest of their lives</w:t>
      </w:r>
      <w:r w:rsidR="00E44260">
        <w:rPr>
          <w:rStyle w:val="st1"/>
          <w:rFonts w:ascii="Arial" w:hAnsi="Arial" w:cs="Arial"/>
          <w:sz w:val="24"/>
          <w:szCs w:val="24"/>
        </w:rPr>
        <w:t xml:space="preserve">, linked </w:t>
      </w:r>
      <w:r w:rsidR="00E739CC">
        <w:rPr>
          <w:rStyle w:val="st1"/>
          <w:rFonts w:ascii="Arial" w:hAnsi="Arial" w:cs="Arial"/>
          <w:sz w:val="24"/>
          <w:szCs w:val="24"/>
        </w:rPr>
        <w:t>to the appropriate index,</w:t>
      </w:r>
      <w:r w:rsidR="00E44260">
        <w:rPr>
          <w:rStyle w:val="st1"/>
          <w:rFonts w:ascii="Arial" w:hAnsi="Arial" w:cs="Arial"/>
          <w:sz w:val="24"/>
          <w:szCs w:val="24"/>
        </w:rPr>
        <w:t xml:space="preserve"> so that</w:t>
      </w:r>
      <w:r w:rsidR="00C17ECE">
        <w:rPr>
          <w:rStyle w:val="st1"/>
          <w:rFonts w:ascii="Arial" w:hAnsi="Arial" w:cs="Arial"/>
          <w:sz w:val="24"/>
          <w:szCs w:val="24"/>
        </w:rPr>
        <w:t xml:space="preserve"> the discount rate or life expectancy issues are not</w:t>
      </w:r>
      <w:r w:rsidR="00E739CC">
        <w:rPr>
          <w:rStyle w:val="st1"/>
          <w:rFonts w:ascii="Arial" w:hAnsi="Arial" w:cs="Arial"/>
          <w:sz w:val="24"/>
          <w:szCs w:val="24"/>
        </w:rPr>
        <w:t xml:space="preserve"> a feature.  This</w:t>
      </w:r>
      <w:r w:rsidR="00167B0D">
        <w:rPr>
          <w:rStyle w:val="st1"/>
          <w:rFonts w:ascii="Arial" w:hAnsi="Arial" w:cs="Arial"/>
          <w:sz w:val="24"/>
          <w:szCs w:val="24"/>
        </w:rPr>
        <w:t xml:space="preserve"> is often an attractive</w:t>
      </w:r>
      <w:r w:rsidR="00E739CC">
        <w:rPr>
          <w:rStyle w:val="st1"/>
          <w:rFonts w:ascii="Arial" w:hAnsi="Arial" w:cs="Arial"/>
          <w:sz w:val="24"/>
          <w:szCs w:val="24"/>
        </w:rPr>
        <w:t xml:space="preserve"> and preferred form of award</w:t>
      </w:r>
      <w:r w:rsidR="008215B2">
        <w:rPr>
          <w:rStyle w:val="st1"/>
          <w:rFonts w:ascii="Arial" w:hAnsi="Arial" w:cs="Arial"/>
          <w:sz w:val="24"/>
          <w:szCs w:val="24"/>
        </w:rPr>
        <w:t xml:space="preserve"> for claimants</w:t>
      </w:r>
      <w:r w:rsidR="004A382E">
        <w:rPr>
          <w:rStyle w:val="st1"/>
          <w:rFonts w:ascii="Arial" w:hAnsi="Arial" w:cs="Arial"/>
          <w:sz w:val="24"/>
          <w:szCs w:val="24"/>
        </w:rPr>
        <w:t xml:space="preserve"> even with a negative discount rate</w:t>
      </w:r>
      <w:r w:rsidR="008215B2">
        <w:rPr>
          <w:rStyle w:val="st1"/>
          <w:rFonts w:ascii="Arial" w:hAnsi="Arial" w:cs="Arial"/>
          <w:sz w:val="24"/>
          <w:szCs w:val="24"/>
        </w:rPr>
        <w:t xml:space="preserve">, </w:t>
      </w:r>
      <w:r w:rsidR="004A382E">
        <w:rPr>
          <w:rStyle w:val="st1"/>
          <w:rFonts w:ascii="Arial" w:hAnsi="Arial" w:cs="Arial"/>
          <w:sz w:val="24"/>
          <w:szCs w:val="24"/>
        </w:rPr>
        <w:t xml:space="preserve">as it provides the </w:t>
      </w:r>
      <w:r w:rsidR="008215B2">
        <w:rPr>
          <w:rStyle w:val="st1"/>
          <w:rFonts w:ascii="Arial" w:hAnsi="Arial" w:cs="Arial"/>
          <w:sz w:val="24"/>
          <w:szCs w:val="24"/>
        </w:rPr>
        <w:t>security of knowing they have enough funds to meet their lifelong needs.</w:t>
      </w:r>
    </w:p>
    <w:p w14:paraId="1BC843A1" w14:textId="77777777" w:rsidR="009D2515" w:rsidRDefault="009D2515" w:rsidP="009D2515">
      <w:pPr>
        <w:rPr>
          <w:rFonts w:ascii="Arial" w:hAnsi="Arial" w:cs="Arial"/>
          <w:sz w:val="24"/>
          <w:szCs w:val="24"/>
        </w:rPr>
      </w:pPr>
    </w:p>
    <w:p w14:paraId="6CD734A1" w14:textId="77777777" w:rsidR="00E1256F" w:rsidRPr="009D2515" w:rsidRDefault="00E1256F" w:rsidP="009D2515">
      <w:pPr>
        <w:rPr>
          <w:rFonts w:ascii="Arial" w:hAnsi="Arial" w:cs="Arial"/>
          <w:b/>
          <w:sz w:val="24"/>
          <w:szCs w:val="24"/>
        </w:rPr>
      </w:pPr>
      <w:r w:rsidRPr="009D2515">
        <w:rPr>
          <w:rFonts w:ascii="Arial" w:hAnsi="Arial" w:cs="Arial"/>
          <w:b/>
          <w:sz w:val="24"/>
          <w:szCs w:val="24"/>
        </w:rPr>
        <w:t>What has been the reaction from the claimant / defendant side to the rate?</w:t>
      </w:r>
    </w:p>
    <w:p w14:paraId="170AE6B9" w14:textId="77777777" w:rsidR="00E1256F" w:rsidRPr="005A50B1" w:rsidRDefault="00E1256F" w:rsidP="005A50B1">
      <w:pPr>
        <w:jc w:val="both"/>
        <w:rPr>
          <w:rFonts w:ascii="Arial" w:hAnsi="Arial" w:cs="Arial"/>
          <w:sz w:val="24"/>
          <w:szCs w:val="24"/>
        </w:rPr>
      </w:pPr>
    </w:p>
    <w:p w14:paraId="0DD226CF" w14:textId="023B9117" w:rsidR="00A6206A" w:rsidRPr="00FD7E6D" w:rsidRDefault="00E1256F" w:rsidP="005A50B1">
      <w:pPr>
        <w:jc w:val="both"/>
        <w:rPr>
          <w:rFonts w:ascii="Arial" w:hAnsi="Arial" w:cs="Arial"/>
          <w:sz w:val="24"/>
          <w:szCs w:val="24"/>
        </w:rPr>
      </w:pPr>
      <w:r w:rsidRPr="00D82D6B">
        <w:rPr>
          <w:rFonts w:ascii="Arial" w:hAnsi="Arial" w:cs="Arial"/>
          <w:sz w:val="24"/>
          <w:szCs w:val="24"/>
        </w:rPr>
        <w:t>Unsurprisingly, the Association of British Insurers’ (ABI) response to the change in rate was to condemn the decision as being a “</w:t>
      </w:r>
      <w:r w:rsidRPr="00C40A8B">
        <w:rPr>
          <w:rFonts w:ascii="Arial" w:hAnsi="Arial" w:cs="Arial"/>
          <w:i/>
          <w:sz w:val="24"/>
          <w:szCs w:val="24"/>
        </w:rPr>
        <w:t>bad outcome</w:t>
      </w:r>
      <w:r w:rsidRPr="00D82D6B">
        <w:rPr>
          <w:rFonts w:ascii="Arial" w:hAnsi="Arial" w:cs="Arial"/>
          <w:sz w:val="24"/>
          <w:szCs w:val="24"/>
        </w:rPr>
        <w:t xml:space="preserve">” for insurance customers and taxpayers, lamenting that it would inevitably lead to an increase in premiums.  </w:t>
      </w:r>
      <w:r w:rsidR="00825276" w:rsidRPr="00086BCB">
        <w:rPr>
          <w:rFonts w:ascii="Arial" w:hAnsi="Arial" w:cs="Arial"/>
          <w:sz w:val="24"/>
          <w:szCs w:val="24"/>
        </w:rPr>
        <w:t xml:space="preserve">The </w:t>
      </w:r>
      <w:r w:rsidR="00825276" w:rsidRPr="00086BCB">
        <w:rPr>
          <w:rFonts w:ascii="Arial" w:hAnsi="Arial" w:cs="Arial"/>
          <w:color w:val="000000"/>
          <w:sz w:val="24"/>
          <w:szCs w:val="24"/>
          <w:lang w:val="en"/>
        </w:rPr>
        <w:t xml:space="preserve">Association of Personal Injury Lawyers </w:t>
      </w:r>
      <w:r w:rsidR="00825276">
        <w:rPr>
          <w:rFonts w:ascii="Arial" w:hAnsi="Arial" w:cs="Arial"/>
          <w:color w:val="000000"/>
          <w:sz w:val="24"/>
          <w:szCs w:val="24"/>
          <w:lang w:val="en"/>
        </w:rPr>
        <w:t>(</w:t>
      </w:r>
      <w:r w:rsidR="00825276">
        <w:rPr>
          <w:rFonts w:ascii="Arial" w:hAnsi="Arial" w:cs="Arial"/>
          <w:sz w:val="24"/>
          <w:szCs w:val="24"/>
        </w:rPr>
        <w:t>APIL) have noted that t</w:t>
      </w:r>
      <w:r w:rsidR="00A6206A" w:rsidRPr="00D82D6B">
        <w:rPr>
          <w:rFonts w:ascii="Arial" w:hAnsi="Arial" w:cs="Arial"/>
          <w:color w:val="000000"/>
          <w:sz w:val="24"/>
          <w:szCs w:val="24"/>
          <w:lang w:val="en"/>
        </w:rPr>
        <w:t>his is in contra</w:t>
      </w:r>
      <w:r w:rsidR="00F34CE1">
        <w:rPr>
          <w:rFonts w:ascii="Arial" w:hAnsi="Arial" w:cs="Arial"/>
          <w:color w:val="000000"/>
          <w:sz w:val="24"/>
          <w:szCs w:val="24"/>
          <w:lang w:val="en"/>
        </w:rPr>
        <w:t>st</w:t>
      </w:r>
      <w:r w:rsidR="00A6206A" w:rsidRPr="00D82D6B">
        <w:rPr>
          <w:rFonts w:ascii="Arial" w:hAnsi="Arial" w:cs="Arial"/>
          <w:color w:val="000000"/>
          <w:sz w:val="24"/>
          <w:szCs w:val="24"/>
          <w:lang w:val="en"/>
        </w:rPr>
        <w:t xml:space="preserve"> to Government figures which show the insurance industry is set to make savings of </w:t>
      </w:r>
      <w:r w:rsidR="00A6206A" w:rsidRPr="00D82D6B">
        <w:rPr>
          <w:rFonts w:ascii="Arial" w:hAnsi="Arial" w:cs="Arial"/>
          <w:color w:val="000000"/>
          <w:sz w:val="24"/>
          <w:szCs w:val="24"/>
          <w:lang w:val="en"/>
        </w:rPr>
        <w:lastRenderedPageBreak/>
        <w:t xml:space="preserve">around £300 million from changes to the way personal injury compensation is calculated. </w:t>
      </w:r>
      <w:r w:rsidR="00F34CE1">
        <w:rPr>
          <w:rFonts w:ascii="Arial" w:hAnsi="Arial" w:cs="Arial"/>
          <w:color w:val="000000"/>
          <w:sz w:val="24"/>
          <w:szCs w:val="24"/>
          <w:lang w:val="en"/>
        </w:rPr>
        <w:t>As noted above, the rate has increased by 0.5% which will obviously result in lower compensation payments for seriously injured claimants, just not as low as defendants had hoped and expected.</w:t>
      </w:r>
    </w:p>
    <w:p w14:paraId="522795A9" w14:textId="77777777" w:rsidR="00A6206A" w:rsidRPr="00D82D6B" w:rsidRDefault="00A6206A" w:rsidP="005A50B1">
      <w:pPr>
        <w:jc w:val="both"/>
        <w:rPr>
          <w:rFonts w:ascii="Arial" w:hAnsi="Arial" w:cs="Arial"/>
          <w:sz w:val="24"/>
          <w:szCs w:val="24"/>
        </w:rPr>
      </w:pPr>
    </w:p>
    <w:p w14:paraId="53A552A7" w14:textId="77777777" w:rsidR="00E1256F" w:rsidRPr="00D82D6B" w:rsidDel="00C179E0" w:rsidRDefault="00E1256F" w:rsidP="005A50B1">
      <w:pPr>
        <w:jc w:val="both"/>
        <w:rPr>
          <w:rFonts w:ascii="Arial" w:hAnsi="Arial" w:cs="Arial"/>
          <w:sz w:val="24"/>
          <w:szCs w:val="24"/>
        </w:rPr>
      </w:pPr>
      <w:r w:rsidRPr="00D82D6B" w:rsidDel="00C179E0">
        <w:rPr>
          <w:rFonts w:ascii="Arial" w:hAnsi="Arial" w:cs="Arial"/>
          <w:sz w:val="24"/>
          <w:szCs w:val="24"/>
        </w:rPr>
        <w:t>The</w:t>
      </w:r>
      <w:r w:rsidR="00A6206A" w:rsidRPr="00D82D6B" w:rsidDel="00C179E0">
        <w:rPr>
          <w:rFonts w:ascii="Arial" w:hAnsi="Arial" w:cs="Arial"/>
          <w:sz w:val="24"/>
          <w:szCs w:val="24"/>
        </w:rPr>
        <w:t xml:space="preserve"> ABI </w:t>
      </w:r>
      <w:r w:rsidRPr="00D82D6B" w:rsidDel="00C179E0">
        <w:rPr>
          <w:rFonts w:ascii="Arial" w:hAnsi="Arial" w:cs="Arial"/>
          <w:sz w:val="24"/>
          <w:szCs w:val="24"/>
        </w:rPr>
        <w:t>said</w:t>
      </w:r>
      <w:r w:rsidR="00A6206A" w:rsidRPr="00D82D6B" w:rsidDel="00C179E0">
        <w:rPr>
          <w:rFonts w:ascii="Arial" w:hAnsi="Arial" w:cs="Arial"/>
          <w:sz w:val="24"/>
          <w:szCs w:val="24"/>
        </w:rPr>
        <w:t xml:space="preserve"> that they are</w:t>
      </w:r>
      <w:r w:rsidRPr="00D82D6B" w:rsidDel="00C179E0">
        <w:rPr>
          <w:rFonts w:ascii="Arial" w:hAnsi="Arial" w:cs="Arial"/>
          <w:sz w:val="24"/>
          <w:szCs w:val="24"/>
        </w:rPr>
        <w:t xml:space="preserve"> frustrated that the Lord Chancellor did not adhere to the previously mooted rate of between 0 and 1%</w:t>
      </w:r>
      <w:r w:rsidR="00FD7E6D" w:rsidDel="00C179E0">
        <w:rPr>
          <w:rFonts w:ascii="Arial" w:hAnsi="Arial" w:cs="Arial"/>
          <w:sz w:val="24"/>
          <w:szCs w:val="24"/>
        </w:rPr>
        <w:t>,</w:t>
      </w:r>
      <w:r w:rsidRPr="00D82D6B" w:rsidDel="00C179E0">
        <w:rPr>
          <w:rFonts w:ascii="Arial" w:hAnsi="Arial" w:cs="Arial"/>
          <w:sz w:val="24"/>
          <w:szCs w:val="24"/>
        </w:rPr>
        <w:t xml:space="preserve"> at which level insurers have been reserving since the MOJ mentioned these figures</w:t>
      </w:r>
      <w:r w:rsidR="00FD7E6D" w:rsidDel="00C179E0">
        <w:rPr>
          <w:rFonts w:ascii="Arial" w:hAnsi="Arial" w:cs="Arial"/>
          <w:sz w:val="24"/>
          <w:szCs w:val="24"/>
        </w:rPr>
        <w:t xml:space="preserve"> back</w:t>
      </w:r>
      <w:r w:rsidRPr="00D82D6B" w:rsidDel="00C179E0">
        <w:rPr>
          <w:rFonts w:ascii="Arial" w:hAnsi="Arial" w:cs="Arial"/>
          <w:sz w:val="24"/>
          <w:szCs w:val="24"/>
        </w:rPr>
        <w:t xml:space="preserve"> in September 2017.  </w:t>
      </w:r>
    </w:p>
    <w:p w14:paraId="0860BDD8" w14:textId="77777777" w:rsidR="005A50B1" w:rsidRPr="00D82D6B" w:rsidRDefault="005A50B1" w:rsidP="005A50B1">
      <w:pPr>
        <w:jc w:val="both"/>
        <w:rPr>
          <w:rFonts w:ascii="Arial" w:hAnsi="Arial" w:cs="Arial"/>
          <w:sz w:val="24"/>
          <w:szCs w:val="24"/>
        </w:rPr>
      </w:pPr>
    </w:p>
    <w:p w14:paraId="025FAD89" w14:textId="4239BFE0" w:rsidR="009B12FA" w:rsidRDefault="00986DE4" w:rsidP="00FD7E6D">
      <w:pPr>
        <w:jc w:val="both"/>
        <w:rPr>
          <w:rFonts w:ascii="Arial" w:hAnsi="Arial" w:cs="Arial"/>
          <w:color w:val="000000"/>
          <w:sz w:val="24"/>
          <w:szCs w:val="24"/>
          <w:lang w:val="en"/>
        </w:rPr>
      </w:pPr>
      <w:r w:rsidRPr="00086BCB">
        <w:rPr>
          <w:rFonts w:ascii="Arial" w:hAnsi="Arial" w:cs="Arial"/>
          <w:sz w:val="24"/>
          <w:szCs w:val="24"/>
        </w:rPr>
        <w:t xml:space="preserve">For those representing claimants, </w:t>
      </w:r>
      <w:r w:rsidR="00086BCB" w:rsidRPr="00086BCB">
        <w:rPr>
          <w:rFonts w:ascii="Arial" w:hAnsi="Arial" w:cs="Arial"/>
          <w:sz w:val="24"/>
          <w:szCs w:val="24"/>
        </w:rPr>
        <w:t>the reaction was more of relief, following</w:t>
      </w:r>
      <w:r w:rsidR="00086BCB" w:rsidRPr="00086BCB">
        <w:rPr>
          <w:rFonts w:ascii="Arial" w:hAnsi="Arial" w:cs="Arial"/>
          <w:color w:val="000000"/>
          <w:sz w:val="24"/>
          <w:szCs w:val="24"/>
          <w:lang w:val="en"/>
        </w:rPr>
        <w:t xml:space="preserve"> uncertainty about the impact of the Government’s new approach of setting the rate on the basis that injured people should be considered ‘low risk’ investors. </w:t>
      </w:r>
      <w:r w:rsidR="00367857">
        <w:rPr>
          <w:rFonts w:ascii="Arial" w:hAnsi="Arial" w:cs="Arial"/>
          <w:color w:val="000000"/>
          <w:sz w:val="24"/>
          <w:szCs w:val="24"/>
          <w:lang w:val="en"/>
        </w:rPr>
        <w:t xml:space="preserve"> </w:t>
      </w:r>
      <w:r w:rsidR="00267A05">
        <w:rPr>
          <w:rFonts w:ascii="Arial" w:hAnsi="Arial" w:cs="Arial"/>
          <w:color w:val="000000"/>
          <w:sz w:val="24"/>
          <w:szCs w:val="24"/>
          <w:lang w:val="en"/>
        </w:rPr>
        <w:t>A</w:t>
      </w:r>
      <w:r w:rsidR="00F34CE1">
        <w:rPr>
          <w:rFonts w:ascii="Arial" w:hAnsi="Arial" w:cs="Arial"/>
          <w:color w:val="000000"/>
          <w:sz w:val="24"/>
          <w:szCs w:val="24"/>
          <w:lang w:val="en"/>
        </w:rPr>
        <w:t>s t</w:t>
      </w:r>
      <w:r w:rsidR="00F6362F" w:rsidRPr="00F6362F">
        <w:rPr>
          <w:rFonts w:ascii="Arial" w:hAnsi="Arial" w:cs="Arial"/>
          <w:color w:val="000000"/>
          <w:sz w:val="24"/>
          <w:szCs w:val="24"/>
          <w:lang w:val="en"/>
        </w:rPr>
        <w:t xml:space="preserve">he calculation is designed to ensure that people who have suffered </w:t>
      </w:r>
      <w:r w:rsidR="00267A05">
        <w:rPr>
          <w:rFonts w:ascii="Arial" w:hAnsi="Arial" w:cs="Arial"/>
          <w:color w:val="000000"/>
          <w:sz w:val="24"/>
          <w:szCs w:val="24"/>
          <w:lang w:val="en"/>
        </w:rPr>
        <w:t>serious</w:t>
      </w:r>
      <w:r w:rsidR="00F6362F" w:rsidRPr="00F6362F">
        <w:rPr>
          <w:rFonts w:ascii="Arial" w:hAnsi="Arial" w:cs="Arial"/>
          <w:color w:val="000000"/>
          <w:sz w:val="24"/>
          <w:szCs w:val="24"/>
          <w:lang w:val="en"/>
        </w:rPr>
        <w:t xml:space="preserve"> injuries have the funding they need for their care, </w:t>
      </w:r>
      <w:r w:rsidR="00167B0D">
        <w:rPr>
          <w:rFonts w:ascii="Arial" w:hAnsi="Arial" w:cs="Arial"/>
          <w:color w:val="000000"/>
          <w:sz w:val="24"/>
          <w:szCs w:val="24"/>
          <w:lang w:val="en"/>
        </w:rPr>
        <w:t>equipment</w:t>
      </w:r>
      <w:r w:rsidR="005076D2">
        <w:rPr>
          <w:rFonts w:ascii="Arial" w:hAnsi="Arial" w:cs="Arial"/>
          <w:color w:val="000000"/>
          <w:sz w:val="24"/>
          <w:szCs w:val="24"/>
          <w:lang w:val="en"/>
        </w:rPr>
        <w:t xml:space="preserve">, loss of earnings etc </w:t>
      </w:r>
      <w:r w:rsidR="00F6362F" w:rsidRPr="00F6362F">
        <w:rPr>
          <w:rFonts w:ascii="Arial" w:hAnsi="Arial" w:cs="Arial"/>
          <w:color w:val="000000"/>
          <w:sz w:val="24"/>
          <w:szCs w:val="24"/>
          <w:lang w:val="en"/>
        </w:rPr>
        <w:t>for the rest of th</w:t>
      </w:r>
      <w:r w:rsidR="00F34CE1">
        <w:rPr>
          <w:rFonts w:ascii="Arial" w:hAnsi="Arial" w:cs="Arial"/>
          <w:color w:val="000000"/>
          <w:sz w:val="24"/>
          <w:szCs w:val="24"/>
          <w:lang w:val="en"/>
        </w:rPr>
        <w:t>eir lives, i</w:t>
      </w:r>
      <w:r w:rsidR="00F6362F" w:rsidRPr="00F6362F">
        <w:rPr>
          <w:rFonts w:ascii="Arial" w:hAnsi="Arial" w:cs="Arial"/>
          <w:color w:val="000000"/>
          <w:sz w:val="24"/>
          <w:szCs w:val="24"/>
          <w:lang w:val="en"/>
        </w:rPr>
        <w:t>njured people should not have to take risks in the way they invest the</w:t>
      </w:r>
      <w:r w:rsidR="007B40DA">
        <w:rPr>
          <w:rFonts w:ascii="Arial" w:hAnsi="Arial" w:cs="Arial"/>
          <w:color w:val="000000"/>
          <w:sz w:val="24"/>
          <w:szCs w:val="24"/>
          <w:lang w:val="en"/>
        </w:rPr>
        <w:t>ir damages</w:t>
      </w:r>
      <w:r w:rsidR="00F6362F" w:rsidRPr="00FD7E6D">
        <w:rPr>
          <w:rFonts w:ascii="Arial" w:hAnsi="Arial" w:cs="Arial"/>
          <w:color w:val="000000"/>
          <w:sz w:val="24"/>
          <w:szCs w:val="24"/>
          <w:lang w:val="en"/>
        </w:rPr>
        <w:t>.</w:t>
      </w:r>
    </w:p>
    <w:p w14:paraId="2B911EBD" w14:textId="77777777" w:rsidR="00986DE4" w:rsidRPr="00986DE4" w:rsidRDefault="00986DE4" w:rsidP="00FD7E6D">
      <w:pPr>
        <w:jc w:val="both"/>
        <w:rPr>
          <w:rFonts w:ascii="Arial" w:hAnsi="Arial" w:cs="Arial"/>
          <w:color w:val="000000"/>
          <w:sz w:val="24"/>
          <w:szCs w:val="24"/>
          <w:lang w:val="en"/>
        </w:rPr>
      </w:pPr>
    </w:p>
    <w:p w14:paraId="7954F474" w14:textId="77777777" w:rsidR="005076D2" w:rsidRDefault="00A84B3C" w:rsidP="00FD7E6D">
      <w:pPr>
        <w:jc w:val="both"/>
        <w:rPr>
          <w:rFonts w:ascii="Arial" w:hAnsi="Arial" w:cs="Arial"/>
          <w:color w:val="000000"/>
          <w:sz w:val="24"/>
          <w:szCs w:val="24"/>
          <w:lang w:val="en"/>
        </w:rPr>
      </w:pPr>
      <w:r w:rsidRPr="00A84B3C">
        <w:rPr>
          <w:rFonts w:ascii="Arial" w:hAnsi="Arial" w:cs="Arial"/>
          <w:color w:val="000000"/>
          <w:sz w:val="24"/>
          <w:szCs w:val="24"/>
          <w:lang w:val="en"/>
        </w:rPr>
        <w:t>In the period where the incoming rate was awaited but unknown</w:t>
      </w:r>
      <w:r w:rsidR="00582A06">
        <w:rPr>
          <w:rFonts w:ascii="Arial" w:hAnsi="Arial" w:cs="Arial"/>
          <w:color w:val="000000"/>
          <w:sz w:val="24"/>
          <w:szCs w:val="24"/>
          <w:lang w:val="en"/>
        </w:rPr>
        <w:t xml:space="preserve"> for so long</w:t>
      </w:r>
      <w:r w:rsidRPr="00A84B3C">
        <w:rPr>
          <w:rFonts w:ascii="Arial" w:hAnsi="Arial" w:cs="Arial"/>
          <w:color w:val="000000"/>
          <w:sz w:val="24"/>
          <w:szCs w:val="24"/>
          <w:lang w:val="en"/>
        </w:rPr>
        <w:t>, personal injury practitioners were giving advice and drafting schedules and counter-schedules of loss in a vacuum.</w:t>
      </w:r>
      <w:r w:rsidR="005076D2">
        <w:rPr>
          <w:rFonts w:ascii="Arial" w:hAnsi="Arial" w:cs="Arial"/>
          <w:color w:val="000000"/>
          <w:sz w:val="24"/>
          <w:szCs w:val="24"/>
          <w:lang w:val="en"/>
        </w:rPr>
        <w:t xml:space="preserve">  Clients without imminent trial dates who had been made early offers had to be advised </w:t>
      </w:r>
      <w:r w:rsidR="00397CE2">
        <w:rPr>
          <w:rFonts w:ascii="Arial" w:hAnsi="Arial" w:cs="Arial"/>
          <w:color w:val="000000"/>
          <w:sz w:val="24"/>
          <w:szCs w:val="24"/>
          <w:lang w:val="en"/>
        </w:rPr>
        <w:t>on</w:t>
      </w:r>
      <w:r w:rsidR="005076D2">
        <w:rPr>
          <w:rFonts w:ascii="Arial" w:hAnsi="Arial" w:cs="Arial"/>
          <w:color w:val="000000"/>
          <w:sz w:val="24"/>
          <w:szCs w:val="24"/>
          <w:lang w:val="en"/>
        </w:rPr>
        <w:t xml:space="preserve"> </w:t>
      </w:r>
      <w:r w:rsidR="00167B0D">
        <w:rPr>
          <w:rFonts w:ascii="Arial" w:hAnsi="Arial" w:cs="Arial"/>
          <w:color w:val="000000"/>
          <w:sz w:val="24"/>
          <w:szCs w:val="24"/>
          <w:lang w:val="en"/>
        </w:rPr>
        <w:t>alternative</w:t>
      </w:r>
      <w:r w:rsidR="005076D2">
        <w:rPr>
          <w:rFonts w:ascii="Arial" w:hAnsi="Arial" w:cs="Arial"/>
          <w:color w:val="000000"/>
          <w:sz w:val="24"/>
          <w:szCs w:val="24"/>
          <w:lang w:val="en"/>
        </w:rPr>
        <w:t xml:space="preserve"> </w:t>
      </w:r>
      <w:r w:rsidR="00167B0D">
        <w:rPr>
          <w:rFonts w:ascii="Arial" w:hAnsi="Arial" w:cs="Arial"/>
          <w:color w:val="000000"/>
          <w:sz w:val="24"/>
          <w:szCs w:val="24"/>
          <w:lang w:val="en"/>
        </w:rPr>
        <w:t>discount</w:t>
      </w:r>
      <w:r w:rsidR="005076D2">
        <w:rPr>
          <w:rFonts w:ascii="Arial" w:hAnsi="Arial" w:cs="Arial"/>
          <w:color w:val="000000"/>
          <w:sz w:val="24"/>
          <w:szCs w:val="24"/>
          <w:lang w:val="en"/>
        </w:rPr>
        <w:t xml:space="preserve"> rate scenarios</w:t>
      </w:r>
      <w:r w:rsidR="00167B0D">
        <w:rPr>
          <w:rFonts w:ascii="Arial" w:hAnsi="Arial" w:cs="Arial"/>
          <w:color w:val="000000"/>
          <w:sz w:val="24"/>
          <w:szCs w:val="24"/>
          <w:lang w:val="en"/>
        </w:rPr>
        <w:t>,</w:t>
      </w:r>
      <w:r w:rsidR="005076D2">
        <w:rPr>
          <w:rFonts w:ascii="Arial" w:hAnsi="Arial" w:cs="Arial"/>
          <w:color w:val="000000"/>
          <w:sz w:val="24"/>
          <w:szCs w:val="24"/>
          <w:lang w:val="en"/>
        </w:rPr>
        <w:t xml:space="preserve"> which was not ideal.  It was yet another </w:t>
      </w:r>
      <w:r w:rsidR="00167B0D">
        <w:rPr>
          <w:rFonts w:ascii="Arial" w:hAnsi="Arial" w:cs="Arial"/>
          <w:color w:val="000000"/>
          <w:sz w:val="24"/>
          <w:szCs w:val="24"/>
          <w:lang w:val="en"/>
        </w:rPr>
        <w:t>permutation</w:t>
      </w:r>
      <w:r w:rsidR="005076D2">
        <w:rPr>
          <w:rFonts w:ascii="Arial" w:hAnsi="Arial" w:cs="Arial"/>
          <w:color w:val="000000"/>
          <w:sz w:val="24"/>
          <w:szCs w:val="24"/>
          <w:lang w:val="en"/>
        </w:rPr>
        <w:t xml:space="preserve"> that had to be factored in.  </w:t>
      </w:r>
      <w:r w:rsidRPr="00A84B3C">
        <w:rPr>
          <w:rFonts w:ascii="Arial" w:hAnsi="Arial" w:cs="Arial"/>
          <w:color w:val="000000"/>
          <w:sz w:val="24"/>
          <w:szCs w:val="24"/>
          <w:lang w:val="en"/>
        </w:rPr>
        <w:t xml:space="preserve">  </w:t>
      </w:r>
    </w:p>
    <w:p w14:paraId="4B32F509" w14:textId="77777777" w:rsidR="005076D2" w:rsidRDefault="005076D2" w:rsidP="00FD7E6D">
      <w:pPr>
        <w:jc w:val="both"/>
        <w:rPr>
          <w:rFonts w:ascii="Arial" w:hAnsi="Arial" w:cs="Arial"/>
          <w:color w:val="000000"/>
          <w:sz w:val="24"/>
          <w:szCs w:val="24"/>
          <w:lang w:val="en"/>
        </w:rPr>
      </w:pPr>
    </w:p>
    <w:p w14:paraId="7CEF2D83" w14:textId="77777777" w:rsidR="00267A05" w:rsidRPr="00986DE4" w:rsidRDefault="00825276" w:rsidP="00FD7E6D">
      <w:pPr>
        <w:jc w:val="both"/>
        <w:rPr>
          <w:rFonts w:ascii="Arial" w:hAnsi="Arial" w:cs="Arial"/>
          <w:color w:val="000000"/>
          <w:sz w:val="24"/>
          <w:szCs w:val="24"/>
          <w:lang w:val="en"/>
        </w:rPr>
      </w:pPr>
      <w:r>
        <w:rPr>
          <w:rFonts w:ascii="Arial" w:hAnsi="Arial" w:cs="Arial"/>
          <w:color w:val="000000"/>
          <w:sz w:val="24"/>
          <w:szCs w:val="24"/>
          <w:lang w:val="en"/>
        </w:rPr>
        <w:t>To have certainty is very much welcomed and a</w:t>
      </w:r>
      <w:r w:rsidR="00FC1A12">
        <w:rPr>
          <w:rFonts w:ascii="Arial" w:hAnsi="Arial" w:cs="Arial"/>
          <w:color w:val="000000"/>
          <w:sz w:val="24"/>
          <w:szCs w:val="24"/>
          <w:lang w:val="en"/>
        </w:rPr>
        <w:t xml:space="preserve">s a Claimant personal injury solicitor representing people who have suffered severe injuries, </w:t>
      </w:r>
      <w:r>
        <w:rPr>
          <w:rFonts w:ascii="Arial" w:hAnsi="Arial" w:cs="Arial"/>
          <w:color w:val="000000"/>
          <w:sz w:val="24"/>
          <w:szCs w:val="24"/>
          <w:lang w:val="en"/>
        </w:rPr>
        <w:t xml:space="preserve">it is pleasing that </w:t>
      </w:r>
      <w:r w:rsidR="00A84B3C" w:rsidRPr="00A84B3C">
        <w:rPr>
          <w:rFonts w:ascii="Arial" w:hAnsi="Arial" w:cs="Arial"/>
          <w:color w:val="000000"/>
          <w:sz w:val="24"/>
          <w:szCs w:val="24"/>
          <w:lang w:val="en"/>
        </w:rPr>
        <w:t xml:space="preserve">this rate </w:t>
      </w:r>
      <w:r>
        <w:rPr>
          <w:rFonts w:ascii="Arial" w:hAnsi="Arial" w:cs="Arial"/>
          <w:color w:val="000000"/>
          <w:sz w:val="24"/>
          <w:szCs w:val="24"/>
          <w:lang w:val="en"/>
        </w:rPr>
        <w:t>has</w:t>
      </w:r>
      <w:r w:rsidR="00A84B3C" w:rsidRPr="00A84B3C">
        <w:rPr>
          <w:rFonts w:ascii="Arial" w:hAnsi="Arial" w:cs="Arial"/>
          <w:color w:val="000000"/>
          <w:sz w:val="24"/>
          <w:szCs w:val="24"/>
          <w:lang w:val="en"/>
        </w:rPr>
        <w:t xml:space="preserve"> been set on a</w:t>
      </w:r>
      <w:r w:rsidR="00986DE4" w:rsidRPr="00A84B3C">
        <w:rPr>
          <w:rFonts w:ascii="Arial" w:hAnsi="Arial" w:cs="Arial"/>
          <w:color w:val="000000"/>
          <w:sz w:val="24"/>
          <w:szCs w:val="24"/>
          <w:lang w:val="en"/>
        </w:rPr>
        <w:t xml:space="preserve"> pruden</w:t>
      </w:r>
      <w:r w:rsidR="00A84B3C" w:rsidRPr="00A84B3C">
        <w:rPr>
          <w:rFonts w:ascii="Arial" w:hAnsi="Arial" w:cs="Arial"/>
          <w:color w:val="000000"/>
          <w:sz w:val="24"/>
          <w:szCs w:val="24"/>
          <w:lang w:val="en"/>
        </w:rPr>
        <w:t xml:space="preserve">t </w:t>
      </w:r>
      <w:r w:rsidR="00442E81">
        <w:rPr>
          <w:rFonts w:ascii="Arial" w:hAnsi="Arial" w:cs="Arial"/>
          <w:color w:val="000000"/>
          <w:sz w:val="24"/>
          <w:szCs w:val="24"/>
          <w:lang w:val="en"/>
        </w:rPr>
        <w:t xml:space="preserve">and fair </w:t>
      </w:r>
      <w:r w:rsidR="00A84B3C" w:rsidRPr="00A84B3C">
        <w:rPr>
          <w:rFonts w:ascii="Arial" w:hAnsi="Arial" w:cs="Arial"/>
          <w:color w:val="000000"/>
          <w:sz w:val="24"/>
          <w:szCs w:val="24"/>
          <w:lang w:val="en"/>
        </w:rPr>
        <w:t>basis</w:t>
      </w:r>
      <w:r w:rsidR="00397CE2">
        <w:rPr>
          <w:rFonts w:ascii="Arial" w:hAnsi="Arial" w:cs="Arial"/>
          <w:color w:val="000000"/>
          <w:sz w:val="24"/>
          <w:szCs w:val="24"/>
          <w:lang w:val="en"/>
        </w:rPr>
        <w:t xml:space="preserve"> to ensure </w:t>
      </w:r>
      <w:r w:rsidR="00986DE4" w:rsidRPr="00397CE2">
        <w:rPr>
          <w:rFonts w:ascii="Arial" w:hAnsi="Arial" w:cs="Arial"/>
          <w:color w:val="000000"/>
          <w:sz w:val="24"/>
          <w:szCs w:val="24"/>
          <w:lang w:val="en"/>
        </w:rPr>
        <w:t xml:space="preserve">life-changing injuries </w:t>
      </w:r>
      <w:r w:rsidR="00397CE2">
        <w:rPr>
          <w:rFonts w:ascii="Arial" w:hAnsi="Arial" w:cs="Arial"/>
          <w:color w:val="000000"/>
          <w:sz w:val="24"/>
          <w:szCs w:val="24"/>
          <w:lang w:val="en"/>
        </w:rPr>
        <w:t>receive the correct compensation</w:t>
      </w:r>
      <w:r w:rsidR="007B40DA">
        <w:rPr>
          <w:rFonts w:ascii="Arial" w:hAnsi="Arial" w:cs="Arial"/>
          <w:color w:val="000000"/>
          <w:sz w:val="24"/>
          <w:szCs w:val="24"/>
          <w:lang w:val="en"/>
        </w:rPr>
        <w:t>.</w:t>
      </w:r>
    </w:p>
    <w:p w14:paraId="7EB1F339" w14:textId="77777777" w:rsidR="00E1256F" w:rsidRPr="005A50B1" w:rsidRDefault="00E1256F" w:rsidP="005A50B1">
      <w:pPr>
        <w:jc w:val="both"/>
        <w:rPr>
          <w:rFonts w:ascii="Arial" w:hAnsi="Arial" w:cs="Arial"/>
          <w:sz w:val="24"/>
          <w:szCs w:val="24"/>
        </w:rPr>
      </w:pPr>
      <w:r w:rsidRPr="005A50B1">
        <w:rPr>
          <w:rFonts w:ascii="Arial" w:hAnsi="Arial" w:cs="Arial"/>
          <w:sz w:val="24"/>
          <w:szCs w:val="24"/>
        </w:rPr>
        <w:t xml:space="preserve"> </w:t>
      </w:r>
    </w:p>
    <w:p w14:paraId="0BCCBCA2" w14:textId="27592FB2" w:rsidR="00E1256F" w:rsidRPr="009D2515" w:rsidRDefault="00E1256F" w:rsidP="00C40A8B">
      <w:pPr>
        <w:pStyle w:val="ListParagraph"/>
        <w:jc w:val="both"/>
        <w:rPr>
          <w:rFonts w:ascii="Arial" w:hAnsi="Arial" w:cs="Arial"/>
          <w:b/>
          <w:sz w:val="24"/>
          <w:szCs w:val="24"/>
        </w:rPr>
      </w:pPr>
      <w:r w:rsidRPr="009D2515">
        <w:rPr>
          <w:rFonts w:ascii="Arial" w:hAnsi="Arial" w:cs="Arial"/>
          <w:b/>
          <w:sz w:val="24"/>
          <w:szCs w:val="24"/>
        </w:rPr>
        <w:t>What are the practical implication</w:t>
      </w:r>
      <w:r w:rsidR="00267A05" w:rsidRPr="009D2515">
        <w:rPr>
          <w:rFonts w:ascii="Arial" w:hAnsi="Arial" w:cs="Arial"/>
          <w:b/>
          <w:sz w:val="24"/>
          <w:szCs w:val="24"/>
        </w:rPr>
        <w:t>s</w:t>
      </w:r>
      <w:r w:rsidRPr="009D2515">
        <w:rPr>
          <w:rFonts w:ascii="Arial" w:hAnsi="Arial" w:cs="Arial"/>
          <w:b/>
          <w:sz w:val="24"/>
          <w:szCs w:val="24"/>
        </w:rPr>
        <w:t xml:space="preserve"> </w:t>
      </w:r>
      <w:r w:rsidR="00C76E61" w:rsidRPr="009D2515">
        <w:rPr>
          <w:rFonts w:ascii="Arial" w:hAnsi="Arial" w:cs="Arial"/>
          <w:b/>
          <w:sz w:val="24"/>
          <w:szCs w:val="24"/>
        </w:rPr>
        <w:t xml:space="preserve">of the rate change </w:t>
      </w:r>
      <w:r w:rsidRPr="009D2515">
        <w:rPr>
          <w:rFonts w:ascii="Arial" w:hAnsi="Arial" w:cs="Arial"/>
          <w:b/>
          <w:sz w:val="24"/>
          <w:szCs w:val="24"/>
        </w:rPr>
        <w:t>for practitioners over the coming months?</w:t>
      </w:r>
    </w:p>
    <w:p w14:paraId="486D4E1F" w14:textId="77777777" w:rsidR="00E1256F" w:rsidRDefault="00E1256F" w:rsidP="00267A05">
      <w:pPr>
        <w:jc w:val="both"/>
        <w:rPr>
          <w:rFonts w:ascii="Arial" w:hAnsi="Arial" w:cs="Arial"/>
          <w:sz w:val="24"/>
          <w:szCs w:val="24"/>
        </w:rPr>
      </w:pPr>
    </w:p>
    <w:p w14:paraId="245AC8BD" w14:textId="77777777" w:rsidR="00267A05" w:rsidRDefault="00337A46" w:rsidP="00267A05">
      <w:pPr>
        <w:jc w:val="both"/>
        <w:rPr>
          <w:rFonts w:ascii="Arial" w:hAnsi="Arial" w:cs="Arial"/>
          <w:sz w:val="24"/>
          <w:szCs w:val="24"/>
        </w:rPr>
      </w:pPr>
      <w:r>
        <w:rPr>
          <w:rFonts w:ascii="Arial" w:hAnsi="Arial" w:cs="Arial"/>
          <w:sz w:val="24"/>
          <w:szCs w:val="24"/>
        </w:rPr>
        <w:t>Since the rate change</w:t>
      </w:r>
      <w:r w:rsidR="00267A05">
        <w:rPr>
          <w:rFonts w:ascii="Arial" w:hAnsi="Arial" w:cs="Arial"/>
          <w:sz w:val="24"/>
          <w:szCs w:val="24"/>
        </w:rPr>
        <w:t xml:space="preserve"> in 2017, there has been much speculation as to when and to what level the new rate would be. </w:t>
      </w:r>
      <w:r w:rsidR="00CC723A">
        <w:rPr>
          <w:rFonts w:ascii="Arial" w:hAnsi="Arial" w:cs="Arial"/>
          <w:sz w:val="24"/>
          <w:szCs w:val="24"/>
        </w:rPr>
        <w:t xml:space="preserve">It was considered that the minus 0.75% rate would be short lived and claimants feared that the insurance industry would succeed in their efforts to lobby the Government to significantly increase the applicable rate.  Now that the rate is known, it should facilitate settlement discussions and </w:t>
      </w:r>
      <w:r w:rsidR="00086BCB">
        <w:rPr>
          <w:rFonts w:ascii="Arial" w:hAnsi="Arial" w:cs="Arial"/>
          <w:sz w:val="24"/>
          <w:szCs w:val="24"/>
        </w:rPr>
        <w:t xml:space="preserve">mean that clear </w:t>
      </w:r>
      <w:r w:rsidR="00CC723A">
        <w:rPr>
          <w:rFonts w:ascii="Arial" w:hAnsi="Arial" w:cs="Arial"/>
          <w:sz w:val="24"/>
          <w:szCs w:val="24"/>
        </w:rPr>
        <w:t xml:space="preserve">advice can be given to the parties regarding the future losses element of claims.  </w:t>
      </w:r>
    </w:p>
    <w:p w14:paraId="49D3CD75" w14:textId="77777777" w:rsidR="00267A05" w:rsidRDefault="00267A05" w:rsidP="00267A05">
      <w:pPr>
        <w:jc w:val="both"/>
        <w:rPr>
          <w:rFonts w:ascii="Arial" w:hAnsi="Arial" w:cs="Arial"/>
          <w:sz w:val="24"/>
          <w:szCs w:val="24"/>
        </w:rPr>
      </w:pPr>
    </w:p>
    <w:p w14:paraId="5D7DD054" w14:textId="617F40AF" w:rsidR="00A26385" w:rsidRDefault="00267A05" w:rsidP="00267A05">
      <w:pPr>
        <w:jc w:val="both"/>
        <w:rPr>
          <w:rFonts w:ascii="Arial" w:hAnsi="Arial" w:cs="Arial"/>
          <w:color w:val="000000"/>
          <w:sz w:val="24"/>
          <w:szCs w:val="24"/>
          <w:lang w:val="en"/>
        </w:rPr>
      </w:pPr>
      <w:r w:rsidRPr="00CC72F2">
        <w:rPr>
          <w:rFonts w:ascii="Arial" w:hAnsi="Arial" w:cs="Arial"/>
          <w:color w:val="000000"/>
          <w:sz w:val="24"/>
          <w:szCs w:val="24"/>
          <w:lang w:val="en"/>
        </w:rPr>
        <w:t xml:space="preserve">A significant remaining issue for the victims of life-changing injuries who require accommodation as a result, is that </w:t>
      </w:r>
      <w:r w:rsidRPr="00C21FAA">
        <w:rPr>
          <w:rFonts w:ascii="Arial" w:hAnsi="Arial" w:cs="Arial"/>
          <w:color w:val="000000"/>
          <w:sz w:val="24"/>
          <w:szCs w:val="24"/>
          <w:lang w:val="en"/>
        </w:rPr>
        <w:t>the</w:t>
      </w:r>
      <w:r w:rsidR="000A1499" w:rsidRPr="00C21FAA">
        <w:rPr>
          <w:rFonts w:ascii="Arial" w:hAnsi="Arial" w:cs="Arial"/>
          <w:color w:val="000000"/>
          <w:sz w:val="24"/>
          <w:szCs w:val="24"/>
          <w:lang w:val="en"/>
        </w:rPr>
        <w:t xml:space="preserve"> </w:t>
      </w:r>
      <w:r w:rsidRPr="00C21FAA">
        <w:rPr>
          <w:rFonts w:ascii="Arial" w:hAnsi="Arial" w:cs="Arial"/>
          <w:color w:val="000000"/>
          <w:sz w:val="24"/>
          <w:szCs w:val="24"/>
          <w:lang w:val="en"/>
        </w:rPr>
        <w:t>continued negative</w:t>
      </w:r>
      <w:r w:rsidRPr="00CC72F2">
        <w:rPr>
          <w:rFonts w:ascii="Arial" w:hAnsi="Arial" w:cs="Arial"/>
          <w:color w:val="000000"/>
          <w:sz w:val="24"/>
          <w:szCs w:val="24"/>
          <w:lang w:val="en"/>
        </w:rPr>
        <w:t xml:space="preserve"> rate will mean that claims </w:t>
      </w:r>
      <w:r w:rsidR="00FD490C">
        <w:rPr>
          <w:rFonts w:ascii="Arial" w:hAnsi="Arial" w:cs="Arial"/>
          <w:color w:val="000000"/>
          <w:sz w:val="24"/>
          <w:szCs w:val="24"/>
          <w:lang w:val="en"/>
        </w:rPr>
        <w:t xml:space="preserve">for </w:t>
      </w:r>
      <w:r w:rsidR="00FD490C" w:rsidRPr="00CC72F2">
        <w:rPr>
          <w:rFonts w:ascii="Arial" w:hAnsi="Arial" w:cs="Arial"/>
          <w:color w:val="000000"/>
          <w:sz w:val="24"/>
          <w:szCs w:val="24"/>
          <w:lang w:val="en"/>
        </w:rPr>
        <w:t xml:space="preserve">accommodation </w:t>
      </w:r>
      <w:r w:rsidRPr="00CC72F2">
        <w:rPr>
          <w:rFonts w:ascii="Arial" w:hAnsi="Arial" w:cs="Arial"/>
          <w:color w:val="000000"/>
          <w:sz w:val="24"/>
          <w:szCs w:val="24"/>
          <w:lang w:val="en"/>
        </w:rPr>
        <w:t xml:space="preserve">calculated with reference to </w:t>
      </w:r>
      <w:r w:rsidRPr="00C40A8B">
        <w:rPr>
          <w:rFonts w:ascii="Arial" w:hAnsi="Arial" w:cs="Arial"/>
          <w:i/>
          <w:iCs/>
          <w:color w:val="000000"/>
          <w:sz w:val="24"/>
          <w:szCs w:val="24"/>
          <w:lang w:val="en"/>
        </w:rPr>
        <w:t>Roberts -v- Johnstone</w:t>
      </w:r>
      <w:r w:rsidR="00337A46">
        <w:rPr>
          <w:rStyle w:val="FootnoteReference"/>
          <w:rFonts w:ascii="Arial" w:hAnsi="Arial" w:cs="Arial"/>
          <w:i/>
          <w:iCs/>
          <w:color w:val="000000"/>
          <w:sz w:val="24"/>
          <w:szCs w:val="24"/>
          <w:lang w:val="en"/>
        </w:rPr>
        <w:footnoteReference w:id="3"/>
      </w:r>
      <w:r w:rsidRPr="00CC72F2">
        <w:rPr>
          <w:rFonts w:ascii="Arial" w:hAnsi="Arial" w:cs="Arial"/>
          <w:color w:val="000000"/>
          <w:sz w:val="24"/>
          <w:szCs w:val="24"/>
          <w:lang w:val="en"/>
        </w:rPr>
        <w:t xml:space="preserve"> will </w:t>
      </w:r>
      <w:r w:rsidR="007F7A89">
        <w:rPr>
          <w:rFonts w:ascii="Arial" w:hAnsi="Arial" w:cs="Arial"/>
          <w:color w:val="000000"/>
          <w:sz w:val="24"/>
          <w:szCs w:val="24"/>
          <w:lang w:val="en"/>
        </w:rPr>
        <w:t xml:space="preserve">still </w:t>
      </w:r>
      <w:r w:rsidR="00EE2604">
        <w:rPr>
          <w:rFonts w:ascii="Arial" w:hAnsi="Arial" w:cs="Arial"/>
          <w:color w:val="000000"/>
          <w:sz w:val="24"/>
          <w:szCs w:val="24"/>
          <w:lang w:val="en"/>
        </w:rPr>
        <w:t>result in</w:t>
      </w:r>
      <w:r w:rsidRPr="00CC72F2">
        <w:rPr>
          <w:rFonts w:ascii="Arial" w:hAnsi="Arial" w:cs="Arial"/>
          <w:color w:val="000000"/>
          <w:sz w:val="24"/>
          <w:szCs w:val="24"/>
          <w:lang w:val="en"/>
        </w:rPr>
        <w:t xml:space="preserve"> a nil allowance for capital purchase costs. That is problematic not just for the settlement calculation, but also</w:t>
      </w:r>
      <w:r w:rsidR="00822DDA">
        <w:rPr>
          <w:rFonts w:ascii="Arial" w:hAnsi="Arial" w:cs="Arial"/>
          <w:color w:val="000000"/>
          <w:sz w:val="24"/>
          <w:szCs w:val="24"/>
          <w:lang w:val="en"/>
        </w:rPr>
        <w:t xml:space="preserve"> </w:t>
      </w:r>
      <w:r w:rsidRPr="00CC72F2">
        <w:rPr>
          <w:rFonts w:ascii="Arial" w:hAnsi="Arial" w:cs="Arial"/>
          <w:color w:val="000000"/>
          <w:sz w:val="24"/>
          <w:szCs w:val="24"/>
          <w:lang w:val="en"/>
        </w:rPr>
        <w:t>interim payment applications</w:t>
      </w:r>
      <w:r w:rsidR="00EE2604">
        <w:rPr>
          <w:rStyle w:val="FootnoteReference"/>
          <w:rFonts w:ascii="Arial" w:hAnsi="Arial" w:cs="Arial"/>
          <w:i/>
          <w:color w:val="000000"/>
          <w:sz w:val="24"/>
          <w:szCs w:val="24"/>
          <w:lang w:val="en"/>
        </w:rPr>
        <w:footnoteReference w:id="4"/>
      </w:r>
      <w:r w:rsidR="00EE2604" w:rsidRPr="00CC72F2">
        <w:rPr>
          <w:rFonts w:ascii="Arial" w:hAnsi="Arial" w:cs="Arial"/>
          <w:color w:val="000000"/>
          <w:sz w:val="24"/>
          <w:szCs w:val="24"/>
          <w:lang w:val="en"/>
        </w:rPr>
        <w:t>.</w:t>
      </w:r>
      <w:r w:rsidR="00FD490C">
        <w:rPr>
          <w:rFonts w:ascii="Arial" w:hAnsi="Arial" w:cs="Arial"/>
          <w:color w:val="000000"/>
          <w:sz w:val="24"/>
          <w:szCs w:val="24"/>
          <w:lang w:val="en"/>
        </w:rPr>
        <w:t xml:space="preserve">  This formula has undercompensated claimants for a long time, but there has been no alternative option.</w:t>
      </w:r>
    </w:p>
    <w:p w14:paraId="3EAE03A7" w14:textId="77777777" w:rsidR="0074411C" w:rsidRDefault="0074411C" w:rsidP="00267A05">
      <w:pPr>
        <w:jc w:val="both"/>
        <w:rPr>
          <w:rFonts w:ascii="Arial" w:hAnsi="Arial" w:cs="Arial"/>
          <w:color w:val="000000"/>
          <w:sz w:val="24"/>
          <w:szCs w:val="24"/>
          <w:lang w:val="en"/>
        </w:rPr>
      </w:pPr>
    </w:p>
    <w:p w14:paraId="34CEEF0B" w14:textId="17D5D3FE" w:rsidR="00267A05" w:rsidRPr="00337A46" w:rsidRDefault="00CE50EB" w:rsidP="00267A05">
      <w:pPr>
        <w:jc w:val="both"/>
        <w:rPr>
          <w:rFonts w:ascii="Arial" w:hAnsi="Arial" w:cs="Arial"/>
          <w:sz w:val="24"/>
          <w:szCs w:val="24"/>
        </w:rPr>
      </w:pPr>
      <w:r>
        <w:rPr>
          <w:rFonts w:ascii="Arial" w:hAnsi="Arial" w:cs="Arial"/>
          <w:sz w:val="24"/>
          <w:szCs w:val="24"/>
        </w:rPr>
        <w:t xml:space="preserve">On 23 July </w:t>
      </w:r>
      <w:r w:rsidR="00A75D69">
        <w:rPr>
          <w:rFonts w:ascii="Arial" w:hAnsi="Arial" w:cs="Arial"/>
          <w:sz w:val="24"/>
          <w:szCs w:val="24"/>
        </w:rPr>
        <w:t xml:space="preserve">2019 </w:t>
      </w:r>
      <w:r>
        <w:rPr>
          <w:rFonts w:ascii="Arial" w:hAnsi="Arial" w:cs="Arial"/>
          <w:color w:val="000000"/>
          <w:sz w:val="24"/>
          <w:szCs w:val="24"/>
          <w:lang w:val="en"/>
        </w:rPr>
        <w:t>t</w:t>
      </w:r>
      <w:r w:rsidR="00A26385" w:rsidRPr="00337A46">
        <w:rPr>
          <w:rFonts w:ascii="Arial" w:hAnsi="Arial" w:cs="Arial"/>
          <w:color w:val="000000"/>
          <w:sz w:val="24"/>
          <w:szCs w:val="24"/>
          <w:lang w:val="en"/>
        </w:rPr>
        <w:t xml:space="preserve">he case of </w:t>
      </w:r>
      <w:r w:rsidR="00A26385" w:rsidRPr="00C40A8B">
        <w:rPr>
          <w:rFonts w:ascii="Arial" w:hAnsi="Arial" w:cs="Arial"/>
          <w:i/>
          <w:color w:val="000000"/>
          <w:sz w:val="24"/>
          <w:szCs w:val="24"/>
          <w:lang w:val="en"/>
        </w:rPr>
        <w:t>Swift v Carpenter</w:t>
      </w:r>
      <w:r w:rsidR="00337A46" w:rsidRPr="00337A46">
        <w:rPr>
          <w:rStyle w:val="FootnoteReference"/>
          <w:rFonts w:ascii="Arial" w:hAnsi="Arial" w:cs="Arial"/>
          <w:i/>
          <w:color w:val="000000"/>
          <w:sz w:val="24"/>
          <w:szCs w:val="24"/>
          <w:lang w:val="en"/>
        </w:rPr>
        <w:footnoteReference w:id="5"/>
      </w:r>
      <w:r w:rsidR="00337A46" w:rsidRPr="00337A46">
        <w:rPr>
          <w:rFonts w:ascii="Arial" w:hAnsi="Arial" w:cs="Arial"/>
          <w:color w:val="000000"/>
          <w:sz w:val="24"/>
          <w:szCs w:val="24"/>
          <w:lang w:val="en"/>
        </w:rPr>
        <w:t xml:space="preserve"> </w:t>
      </w:r>
      <w:r w:rsidR="00167B0D">
        <w:rPr>
          <w:rFonts w:ascii="Arial" w:hAnsi="Arial" w:cs="Arial"/>
          <w:color w:val="000000"/>
          <w:sz w:val="24"/>
          <w:szCs w:val="24"/>
          <w:lang w:val="en"/>
        </w:rPr>
        <w:t xml:space="preserve">was </w:t>
      </w:r>
      <w:r w:rsidR="00167B0D">
        <w:rPr>
          <w:rFonts w:ascii="Arial" w:hAnsi="Arial" w:cs="Arial"/>
          <w:sz w:val="24"/>
          <w:szCs w:val="24"/>
        </w:rPr>
        <w:t xml:space="preserve">part heard </w:t>
      </w:r>
      <w:r>
        <w:rPr>
          <w:rFonts w:ascii="Arial" w:hAnsi="Arial" w:cs="Arial"/>
          <w:sz w:val="24"/>
          <w:szCs w:val="24"/>
        </w:rPr>
        <w:t xml:space="preserve">in </w:t>
      </w:r>
      <w:r w:rsidR="00A26385" w:rsidRPr="00337A46">
        <w:rPr>
          <w:rFonts w:ascii="Arial" w:hAnsi="Arial" w:cs="Arial"/>
          <w:sz w:val="24"/>
          <w:szCs w:val="24"/>
        </w:rPr>
        <w:t>the Court of Appeal</w:t>
      </w:r>
      <w:r w:rsidR="00A75D69">
        <w:rPr>
          <w:rFonts w:ascii="Arial" w:hAnsi="Arial" w:cs="Arial"/>
          <w:sz w:val="24"/>
          <w:szCs w:val="24"/>
        </w:rPr>
        <w:t xml:space="preserve"> when</w:t>
      </w:r>
      <w:r>
        <w:rPr>
          <w:rFonts w:ascii="Arial" w:hAnsi="Arial" w:cs="Arial"/>
          <w:sz w:val="24"/>
          <w:szCs w:val="24"/>
        </w:rPr>
        <w:t xml:space="preserve"> </w:t>
      </w:r>
      <w:r w:rsidR="00167B0D" w:rsidRPr="00337A46">
        <w:rPr>
          <w:rFonts w:ascii="Arial" w:hAnsi="Arial" w:cs="Arial"/>
          <w:sz w:val="24"/>
          <w:szCs w:val="24"/>
        </w:rPr>
        <w:t>Underhill LJ,</w:t>
      </w:r>
      <w:r>
        <w:rPr>
          <w:rFonts w:ascii="Arial" w:hAnsi="Arial" w:cs="Arial"/>
          <w:sz w:val="24"/>
          <w:szCs w:val="24"/>
        </w:rPr>
        <w:t xml:space="preserve"> Irwin LJ and Nicola Davies LJ</w:t>
      </w:r>
      <w:r w:rsidR="005076D2">
        <w:rPr>
          <w:rFonts w:ascii="Arial" w:hAnsi="Arial" w:cs="Arial"/>
          <w:sz w:val="24"/>
          <w:szCs w:val="24"/>
        </w:rPr>
        <w:t xml:space="preserve"> </w:t>
      </w:r>
      <w:r w:rsidR="00A26385" w:rsidRPr="00337A46">
        <w:rPr>
          <w:rFonts w:ascii="Arial" w:hAnsi="Arial" w:cs="Arial"/>
          <w:sz w:val="24"/>
          <w:szCs w:val="24"/>
        </w:rPr>
        <w:t xml:space="preserve">made it clear </w:t>
      </w:r>
      <w:r w:rsidR="00CC723A">
        <w:rPr>
          <w:rFonts w:ascii="Arial" w:hAnsi="Arial" w:cs="Arial"/>
          <w:sz w:val="24"/>
          <w:szCs w:val="24"/>
        </w:rPr>
        <w:t xml:space="preserve">that </w:t>
      </w:r>
      <w:r w:rsidR="00A26385" w:rsidRPr="00337A46">
        <w:rPr>
          <w:rFonts w:ascii="Arial" w:hAnsi="Arial" w:cs="Arial"/>
          <w:sz w:val="24"/>
          <w:szCs w:val="24"/>
        </w:rPr>
        <w:t xml:space="preserve">they consider this is a test case and actively want to </w:t>
      </w:r>
      <w:r w:rsidR="00FD490C">
        <w:rPr>
          <w:rFonts w:ascii="Arial" w:hAnsi="Arial" w:cs="Arial"/>
          <w:sz w:val="24"/>
          <w:szCs w:val="24"/>
        </w:rPr>
        <w:t>look at</w:t>
      </w:r>
      <w:r w:rsidR="00A26385" w:rsidRPr="00337A46">
        <w:rPr>
          <w:rFonts w:ascii="Arial" w:hAnsi="Arial" w:cs="Arial"/>
          <w:sz w:val="24"/>
          <w:szCs w:val="24"/>
        </w:rPr>
        <w:t xml:space="preserve"> all </w:t>
      </w:r>
      <w:r w:rsidR="00FD490C">
        <w:rPr>
          <w:rFonts w:ascii="Arial" w:hAnsi="Arial" w:cs="Arial"/>
          <w:sz w:val="24"/>
          <w:szCs w:val="24"/>
        </w:rPr>
        <w:t xml:space="preserve">of </w:t>
      </w:r>
      <w:r w:rsidR="00A26385" w:rsidRPr="00337A46">
        <w:rPr>
          <w:rFonts w:ascii="Arial" w:hAnsi="Arial" w:cs="Arial"/>
          <w:sz w:val="24"/>
          <w:szCs w:val="24"/>
        </w:rPr>
        <w:t xml:space="preserve">the available options </w:t>
      </w:r>
      <w:r w:rsidR="00FD490C">
        <w:rPr>
          <w:rFonts w:ascii="Arial" w:hAnsi="Arial" w:cs="Arial"/>
          <w:sz w:val="24"/>
          <w:szCs w:val="24"/>
        </w:rPr>
        <w:t>for calculating accommodation claims</w:t>
      </w:r>
      <w:r w:rsidR="00A26385" w:rsidRPr="00337A46">
        <w:rPr>
          <w:rFonts w:ascii="Arial" w:hAnsi="Arial" w:cs="Arial"/>
          <w:sz w:val="24"/>
          <w:szCs w:val="24"/>
        </w:rPr>
        <w:t>.  The co</w:t>
      </w:r>
      <w:r>
        <w:rPr>
          <w:rFonts w:ascii="Arial" w:hAnsi="Arial" w:cs="Arial"/>
          <w:sz w:val="24"/>
          <w:szCs w:val="24"/>
        </w:rPr>
        <w:t>urt specifically said it would “</w:t>
      </w:r>
      <w:r w:rsidR="00A26385" w:rsidRPr="00C40A8B">
        <w:rPr>
          <w:rFonts w:ascii="Arial" w:hAnsi="Arial" w:cs="Arial"/>
          <w:i/>
          <w:iCs/>
          <w:sz w:val="24"/>
          <w:szCs w:val="24"/>
        </w:rPr>
        <w:t>welcome a fuller revi</w:t>
      </w:r>
      <w:r w:rsidR="009062A1" w:rsidRPr="00C40A8B">
        <w:rPr>
          <w:rFonts w:ascii="Arial" w:hAnsi="Arial" w:cs="Arial"/>
          <w:i/>
          <w:iCs/>
          <w:sz w:val="24"/>
          <w:szCs w:val="24"/>
        </w:rPr>
        <w:t>ew of all possible alternatives</w:t>
      </w:r>
      <w:r w:rsidRPr="00C40A8B">
        <w:rPr>
          <w:rFonts w:ascii="Arial" w:hAnsi="Arial" w:cs="Arial"/>
          <w:i/>
          <w:iCs/>
          <w:sz w:val="24"/>
          <w:szCs w:val="24"/>
        </w:rPr>
        <w:t>”</w:t>
      </w:r>
      <w:r w:rsidR="009062A1" w:rsidRPr="00367857">
        <w:rPr>
          <w:rFonts w:ascii="Arial" w:hAnsi="Arial" w:cs="Arial"/>
          <w:iCs/>
          <w:sz w:val="24"/>
          <w:szCs w:val="24"/>
        </w:rPr>
        <w:t xml:space="preserve"> </w:t>
      </w:r>
      <w:r w:rsidR="009062A1" w:rsidRPr="009062A1">
        <w:rPr>
          <w:rFonts w:ascii="Arial" w:hAnsi="Arial" w:cs="Arial"/>
          <w:iCs/>
          <w:sz w:val="24"/>
          <w:szCs w:val="24"/>
        </w:rPr>
        <w:t>to</w:t>
      </w:r>
      <w:r w:rsidR="009062A1">
        <w:rPr>
          <w:rFonts w:ascii="Arial" w:hAnsi="Arial" w:cs="Arial"/>
          <w:i/>
          <w:iCs/>
          <w:sz w:val="24"/>
          <w:szCs w:val="24"/>
        </w:rPr>
        <w:t xml:space="preserve"> </w:t>
      </w:r>
      <w:r w:rsidR="009062A1" w:rsidRPr="00C40A8B">
        <w:rPr>
          <w:rFonts w:ascii="Arial" w:hAnsi="Arial" w:cs="Arial"/>
          <w:i/>
          <w:iCs/>
          <w:sz w:val="24"/>
          <w:szCs w:val="24"/>
        </w:rPr>
        <w:t>Robert</w:t>
      </w:r>
      <w:r w:rsidR="00347EA5" w:rsidRPr="00C40A8B">
        <w:rPr>
          <w:rFonts w:ascii="Arial" w:hAnsi="Arial" w:cs="Arial"/>
          <w:i/>
          <w:iCs/>
          <w:sz w:val="24"/>
          <w:szCs w:val="24"/>
        </w:rPr>
        <w:t>s</w:t>
      </w:r>
      <w:r w:rsidR="009062A1" w:rsidRPr="00C40A8B">
        <w:rPr>
          <w:rFonts w:ascii="Arial" w:hAnsi="Arial" w:cs="Arial"/>
          <w:i/>
          <w:iCs/>
          <w:sz w:val="24"/>
          <w:szCs w:val="24"/>
        </w:rPr>
        <w:t xml:space="preserve"> v Johnstone</w:t>
      </w:r>
      <w:r w:rsidR="00A26385" w:rsidRPr="00337A46">
        <w:rPr>
          <w:rFonts w:ascii="Arial" w:hAnsi="Arial" w:cs="Arial"/>
          <w:i/>
          <w:iCs/>
          <w:sz w:val="24"/>
          <w:szCs w:val="24"/>
        </w:rPr>
        <w:t>.  </w:t>
      </w:r>
      <w:r w:rsidR="00A26385" w:rsidRPr="00337A46">
        <w:rPr>
          <w:rFonts w:ascii="Arial" w:hAnsi="Arial" w:cs="Arial"/>
          <w:sz w:val="24"/>
          <w:szCs w:val="24"/>
        </w:rPr>
        <w:t xml:space="preserve"> </w:t>
      </w:r>
      <w:r w:rsidR="00A75D69">
        <w:rPr>
          <w:rFonts w:ascii="Arial" w:hAnsi="Arial" w:cs="Arial"/>
          <w:sz w:val="24"/>
          <w:szCs w:val="24"/>
        </w:rPr>
        <w:t xml:space="preserve">The </w:t>
      </w:r>
      <w:r w:rsidR="00FD490C">
        <w:rPr>
          <w:rFonts w:ascii="Arial" w:hAnsi="Arial" w:cs="Arial"/>
          <w:sz w:val="24"/>
          <w:szCs w:val="24"/>
        </w:rPr>
        <w:t>case is to be heard</w:t>
      </w:r>
      <w:r w:rsidR="00C76E61">
        <w:rPr>
          <w:rFonts w:ascii="Arial" w:hAnsi="Arial" w:cs="Arial"/>
          <w:sz w:val="24"/>
          <w:szCs w:val="24"/>
        </w:rPr>
        <w:t xml:space="preserve"> </w:t>
      </w:r>
      <w:r w:rsidR="00C76E61" w:rsidRPr="00C21FAA">
        <w:rPr>
          <w:rFonts w:ascii="Arial" w:hAnsi="Arial" w:cs="Arial"/>
          <w:sz w:val="24"/>
          <w:szCs w:val="24"/>
        </w:rPr>
        <w:t>in full</w:t>
      </w:r>
      <w:r w:rsidR="00A75D69">
        <w:rPr>
          <w:rFonts w:ascii="Arial" w:hAnsi="Arial" w:cs="Arial"/>
          <w:sz w:val="24"/>
          <w:szCs w:val="24"/>
        </w:rPr>
        <w:t xml:space="preserve"> in Spring 2020, when w</w:t>
      </w:r>
      <w:r w:rsidR="00A75D69" w:rsidRPr="00086BCB">
        <w:rPr>
          <w:rFonts w:ascii="Arial" w:hAnsi="Arial" w:cs="Arial"/>
          <w:iCs/>
          <w:sz w:val="24"/>
          <w:szCs w:val="24"/>
        </w:rPr>
        <w:t>e</w:t>
      </w:r>
      <w:r w:rsidR="00A75D69" w:rsidRPr="00086BCB">
        <w:rPr>
          <w:rFonts w:ascii="Arial" w:hAnsi="Arial" w:cs="Arial"/>
          <w:sz w:val="24"/>
          <w:szCs w:val="24"/>
        </w:rPr>
        <w:t xml:space="preserve"> </w:t>
      </w:r>
      <w:r w:rsidR="00A75D69" w:rsidRPr="00337A46">
        <w:rPr>
          <w:rFonts w:ascii="Arial" w:hAnsi="Arial" w:cs="Arial"/>
          <w:sz w:val="24"/>
          <w:szCs w:val="24"/>
        </w:rPr>
        <w:t xml:space="preserve">should </w:t>
      </w:r>
      <w:r w:rsidR="00FD490C">
        <w:rPr>
          <w:rFonts w:ascii="Arial" w:hAnsi="Arial" w:cs="Arial"/>
          <w:sz w:val="24"/>
          <w:szCs w:val="24"/>
        </w:rPr>
        <w:t xml:space="preserve">hopefully </w:t>
      </w:r>
      <w:r w:rsidR="00A75D69" w:rsidRPr="00337A46">
        <w:rPr>
          <w:rFonts w:ascii="Arial" w:hAnsi="Arial" w:cs="Arial"/>
          <w:sz w:val="24"/>
          <w:szCs w:val="24"/>
        </w:rPr>
        <w:t xml:space="preserve">have some </w:t>
      </w:r>
      <w:r w:rsidR="00A75D69">
        <w:rPr>
          <w:rFonts w:ascii="Arial" w:hAnsi="Arial" w:cs="Arial"/>
          <w:sz w:val="24"/>
          <w:szCs w:val="24"/>
        </w:rPr>
        <w:t xml:space="preserve">long awaited </w:t>
      </w:r>
      <w:r w:rsidR="00A75D69" w:rsidRPr="00337A46">
        <w:rPr>
          <w:rFonts w:ascii="Arial" w:hAnsi="Arial" w:cs="Arial"/>
          <w:sz w:val="24"/>
          <w:szCs w:val="24"/>
        </w:rPr>
        <w:t xml:space="preserve">clarity </w:t>
      </w:r>
      <w:r w:rsidR="00A75D69">
        <w:rPr>
          <w:rFonts w:ascii="Arial" w:hAnsi="Arial" w:cs="Arial"/>
          <w:sz w:val="24"/>
          <w:szCs w:val="24"/>
        </w:rPr>
        <w:t>on accommodation</w:t>
      </w:r>
      <w:r w:rsidR="00A75D69" w:rsidRPr="00337A46">
        <w:rPr>
          <w:rFonts w:ascii="Arial" w:hAnsi="Arial" w:cs="Arial"/>
          <w:sz w:val="24"/>
          <w:szCs w:val="24"/>
        </w:rPr>
        <w:t xml:space="preserve"> claims under </w:t>
      </w:r>
      <w:r w:rsidR="009062A1">
        <w:rPr>
          <w:rFonts w:ascii="Arial" w:hAnsi="Arial" w:cs="Arial"/>
          <w:sz w:val="24"/>
          <w:szCs w:val="24"/>
        </w:rPr>
        <w:t>a negative</w:t>
      </w:r>
      <w:r w:rsidR="00A75D69" w:rsidRPr="00337A46">
        <w:rPr>
          <w:rFonts w:ascii="Arial" w:hAnsi="Arial" w:cs="Arial"/>
          <w:sz w:val="24"/>
          <w:szCs w:val="24"/>
        </w:rPr>
        <w:t xml:space="preserve"> discount rate.  </w:t>
      </w:r>
    </w:p>
    <w:p w14:paraId="01B53684" w14:textId="77777777" w:rsidR="00267A05" w:rsidRPr="00267A05" w:rsidRDefault="00267A05" w:rsidP="00267A05">
      <w:pPr>
        <w:jc w:val="both"/>
        <w:rPr>
          <w:rFonts w:ascii="Arial" w:hAnsi="Arial" w:cs="Arial"/>
          <w:sz w:val="24"/>
          <w:szCs w:val="24"/>
        </w:rPr>
      </w:pPr>
    </w:p>
    <w:p w14:paraId="1FF91E4D" w14:textId="77777777" w:rsidR="00E1256F" w:rsidRPr="009D2515" w:rsidRDefault="00E1256F" w:rsidP="00C40A8B">
      <w:pPr>
        <w:pStyle w:val="ListParagraph"/>
        <w:jc w:val="both"/>
        <w:rPr>
          <w:rFonts w:ascii="Arial" w:hAnsi="Arial" w:cs="Arial"/>
          <w:b/>
          <w:sz w:val="24"/>
          <w:szCs w:val="24"/>
        </w:rPr>
      </w:pPr>
      <w:r w:rsidRPr="009D2515">
        <w:rPr>
          <w:rFonts w:ascii="Arial" w:hAnsi="Arial" w:cs="Arial"/>
          <w:b/>
          <w:sz w:val="24"/>
          <w:szCs w:val="24"/>
        </w:rPr>
        <w:t>Do you have any predictions for the future in this area?</w:t>
      </w:r>
    </w:p>
    <w:p w14:paraId="330C3A3B" w14:textId="77777777" w:rsidR="00A549BE" w:rsidRPr="00337A46" w:rsidRDefault="00A549BE" w:rsidP="00337A46">
      <w:pPr>
        <w:jc w:val="both"/>
        <w:rPr>
          <w:rFonts w:ascii="Arial" w:hAnsi="Arial" w:cs="Arial"/>
          <w:sz w:val="24"/>
          <w:szCs w:val="24"/>
        </w:rPr>
      </w:pPr>
    </w:p>
    <w:p w14:paraId="7722B422" w14:textId="013278EA" w:rsidR="00337A46" w:rsidRDefault="006A3E91" w:rsidP="00337A46">
      <w:pPr>
        <w:jc w:val="both"/>
        <w:rPr>
          <w:rFonts w:ascii="Arial" w:eastAsia="Times New Roman" w:hAnsi="Arial" w:cs="Arial"/>
          <w:color w:val="202020"/>
          <w:sz w:val="24"/>
          <w:szCs w:val="24"/>
        </w:rPr>
      </w:pPr>
      <w:r w:rsidRPr="00174034">
        <w:rPr>
          <w:rFonts w:ascii="Arial" w:eastAsia="Times New Roman" w:hAnsi="Arial" w:cs="Arial"/>
          <w:color w:val="202020"/>
          <w:sz w:val="24"/>
          <w:szCs w:val="24"/>
        </w:rPr>
        <w:t>The rate is to be reviewed within five years by an independent expert panel</w:t>
      </w:r>
      <w:r w:rsidR="0017335C" w:rsidRPr="00174034">
        <w:rPr>
          <w:rFonts w:ascii="Arial" w:eastAsia="Times New Roman" w:hAnsi="Arial" w:cs="Arial"/>
          <w:color w:val="202020"/>
          <w:sz w:val="24"/>
          <w:szCs w:val="24"/>
        </w:rPr>
        <w:t>.  The Lord Chancellor, when setting the latest rate, noted the need for it to be “</w:t>
      </w:r>
      <w:r w:rsidR="0017335C" w:rsidRPr="00C40A8B">
        <w:rPr>
          <w:rFonts w:ascii="Arial" w:eastAsia="Times New Roman" w:hAnsi="Arial" w:cs="Arial"/>
          <w:i/>
          <w:color w:val="202020"/>
          <w:sz w:val="24"/>
          <w:szCs w:val="24"/>
        </w:rPr>
        <w:t>reviewed on a regular basis to make sure this important calculation is accurate every time</w:t>
      </w:r>
      <w:r w:rsidR="0017335C" w:rsidRPr="00174034">
        <w:rPr>
          <w:rFonts w:ascii="Arial" w:eastAsia="Times New Roman" w:hAnsi="Arial" w:cs="Arial"/>
          <w:color w:val="202020"/>
          <w:sz w:val="24"/>
          <w:szCs w:val="24"/>
        </w:rPr>
        <w:t xml:space="preserve">”.  </w:t>
      </w:r>
      <w:r w:rsidR="00822DDA">
        <w:rPr>
          <w:rFonts w:ascii="Arial" w:eastAsia="Times New Roman" w:hAnsi="Arial" w:cs="Arial"/>
          <w:color w:val="202020"/>
          <w:sz w:val="24"/>
          <w:szCs w:val="24"/>
        </w:rPr>
        <w:t>When</w:t>
      </w:r>
      <w:r w:rsidR="00223A35">
        <w:rPr>
          <w:rFonts w:ascii="Arial" w:eastAsia="Times New Roman" w:hAnsi="Arial" w:cs="Arial"/>
          <w:color w:val="202020"/>
          <w:sz w:val="24"/>
          <w:szCs w:val="24"/>
        </w:rPr>
        <w:t>ever</w:t>
      </w:r>
      <w:r w:rsidR="00822DDA">
        <w:rPr>
          <w:rFonts w:ascii="Arial" w:eastAsia="Times New Roman" w:hAnsi="Arial" w:cs="Arial"/>
          <w:color w:val="202020"/>
          <w:sz w:val="24"/>
          <w:szCs w:val="24"/>
        </w:rPr>
        <w:t xml:space="preserve"> a change to the rate is on the horizon, it causes uncertainty.  The </w:t>
      </w:r>
      <w:r w:rsidR="00223A35">
        <w:rPr>
          <w:rFonts w:ascii="Arial" w:eastAsia="Times New Roman" w:hAnsi="Arial" w:cs="Arial"/>
          <w:color w:val="202020"/>
          <w:sz w:val="24"/>
          <w:szCs w:val="24"/>
        </w:rPr>
        <w:t xml:space="preserve">exact </w:t>
      </w:r>
      <w:r w:rsidR="00822DDA">
        <w:rPr>
          <w:rFonts w:ascii="Arial" w:eastAsia="Times New Roman" w:hAnsi="Arial" w:cs="Arial"/>
          <w:color w:val="202020"/>
          <w:sz w:val="24"/>
          <w:szCs w:val="24"/>
        </w:rPr>
        <w:t>timeframe for the next review is not yet known</w:t>
      </w:r>
      <w:r w:rsidR="00223A35">
        <w:rPr>
          <w:rFonts w:ascii="Arial" w:eastAsia="Times New Roman" w:hAnsi="Arial" w:cs="Arial"/>
          <w:color w:val="202020"/>
          <w:sz w:val="24"/>
          <w:szCs w:val="24"/>
        </w:rPr>
        <w:t xml:space="preserve"> and we will therefore likely again find ourselves in the position where a new rate looms and the parties have to work on assumptions and estima</w:t>
      </w:r>
      <w:r w:rsidR="009062A1">
        <w:rPr>
          <w:rFonts w:ascii="Arial" w:eastAsia="Times New Roman" w:hAnsi="Arial" w:cs="Arial"/>
          <w:color w:val="202020"/>
          <w:sz w:val="24"/>
          <w:szCs w:val="24"/>
        </w:rPr>
        <w:t>tes as to what the rate may be</w:t>
      </w:r>
      <w:r w:rsidR="00223A35">
        <w:rPr>
          <w:rFonts w:ascii="Arial" w:eastAsia="Times New Roman" w:hAnsi="Arial" w:cs="Arial"/>
          <w:color w:val="202020"/>
          <w:sz w:val="24"/>
          <w:szCs w:val="24"/>
        </w:rPr>
        <w:t>.</w:t>
      </w:r>
    </w:p>
    <w:p w14:paraId="0965803B" w14:textId="77777777" w:rsidR="0017335C" w:rsidRPr="00174034" w:rsidRDefault="0017335C" w:rsidP="00337A46">
      <w:pPr>
        <w:jc w:val="both"/>
        <w:rPr>
          <w:rFonts w:ascii="Arial" w:eastAsia="Times New Roman" w:hAnsi="Arial" w:cs="Arial"/>
          <w:color w:val="202020"/>
          <w:sz w:val="24"/>
          <w:szCs w:val="24"/>
        </w:rPr>
      </w:pPr>
    </w:p>
    <w:p w14:paraId="15F4FEEC" w14:textId="4E764AF6" w:rsidR="006D725F" w:rsidRDefault="00174034" w:rsidP="006D725F">
      <w:pPr>
        <w:jc w:val="both"/>
        <w:rPr>
          <w:rFonts w:ascii="Arial" w:eastAsia="Times New Roman" w:hAnsi="Arial" w:cs="Arial"/>
          <w:color w:val="202020"/>
          <w:sz w:val="24"/>
          <w:szCs w:val="24"/>
        </w:rPr>
      </w:pPr>
      <w:r w:rsidRPr="00174034">
        <w:rPr>
          <w:rFonts w:ascii="Arial" w:eastAsia="Times New Roman" w:hAnsi="Arial" w:cs="Arial"/>
          <w:color w:val="202020"/>
          <w:sz w:val="24"/>
          <w:szCs w:val="24"/>
        </w:rPr>
        <w:t>APIL have noted that the Government has faced sustained pressure from the insurance industry to set a rate which would not be appropriate for injured people and vigilance is required to ensure the new rate does provide them with fair compensation.</w:t>
      </w:r>
      <w:r w:rsidR="004A032D">
        <w:rPr>
          <w:rFonts w:ascii="Arial" w:eastAsia="Times New Roman" w:hAnsi="Arial" w:cs="Arial"/>
          <w:color w:val="202020"/>
          <w:sz w:val="24"/>
          <w:szCs w:val="24"/>
        </w:rPr>
        <w:t xml:space="preserve"> </w:t>
      </w:r>
      <w:r w:rsidR="006D725F">
        <w:rPr>
          <w:rFonts w:ascii="Arial" w:eastAsia="Times New Roman" w:hAnsi="Arial" w:cs="Arial"/>
          <w:color w:val="202020"/>
          <w:sz w:val="24"/>
          <w:szCs w:val="24"/>
        </w:rPr>
        <w:t xml:space="preserve">It is anticipated that the data as to the expected net return for claimants will be kept under close review and where a </w:t>
      </w:r>
      <w:r w:rsidR="00167A91">
        <w:rPr>
          <w:rFonts w:ascii="Arial" w:eastAsia="Times New Roman" w:hAnsi="Arial" w:cs="Arial"/>
          <w:color w:val="202020"/>
          <w:sz w:val="24"/>
          <w:szCs w:val="24"/>
        </w:rPr>
        <w:t xml:space="preserve">change </w:t>
      </w:r>
      <w:r w:rsidR="006D725F">
        <w:rPr>
          <w:rFonts w:ascii="Arial" w:eastAsia="Times New Roman" w:hAnsi="Arial" w:cs="Arial"/>
          <w:color w:val="202020"/>
          <w:sz w:val="24"/>
          <w:szCs w:val="24"/>
        </w:rPr>
        <w:t>of the rate could be indicated, this will be called for by the respective parties to this issue.</w:t>
      </w:r>
    </w:p>
    <w:p w14:paraId="72E47301" w14:textId="77777777" w:rsidR="00174034" w:rsidRPr="00174034" w:rsidRDefault="00174034" w:rsidP="00174034">
      <w:pPr>
        <w:jc w:val="both"/>
        <w:rPr>
          <w:rFonts w:ascii="Arial" w:eastAsia="Times New Roman" w:hAnsi="Arial" w:cs="Arial"/>
          <w:color w:val="202020"/>
          <w:sz w:val="24"/>
          <w:szCs w:val="24"/>
        </w:rPr>
      </w:pPr>
    </w:p>
    <w:p w14:paraId="411CF44F" w14:textId="47AE3BDE" w:rsidR="0017335C" w:rsidRPr="00174034" w:rsidRDefault="0017335C" w:rsidP="00337A46">
      <w:pPr>
        <w:jc w:val="both"/>
        <w:rPr>
          <w:rFonts w:ascii="Arial" w:eastAsia="Times New Roman" w:hAnsi="Arial" w:cs="Arial"/>
          <w:color w:val="202020"/>
          <w:sz w:val="24"/>
          <w:szCs w:val="24"/>
        </w:rPr>
      </w:pPr>
      <w:r w:rsidRPr="00174034">
        <w:rPr>
          <w:rFonts w:ascii="Arial" w:eastAsia="Times New Roman" w:hAnsi="Arial" w:cs="Arial"/>
          <w:color w:val="202020"/>
          <w:sz w:val="24"/>
          <w:szCs w:val="24"/>
        </w:rPr>
        <w:t>The Government Actuary’s advice to the Lord Chancellor explored the idea of having two distinct dis</w:t>
      </w:r>
      <w:r w:rsidR="00167A91">
        <w:rPr>
          <w:rFonts w:ascii="Arial" w:eastAsia="Times New Roman" w:hAnsi="Arial" w:cs="Arial"/>
          <w:color w:val="202020"/>
          <w:sz w:val="24"/>
          <w:szCs w:val="24"/>
        </w:rPr>
        <w:t>count rates based on term of loss</w:t>
      </w:r>
      <w:r w:rsidRPr="00174034">
        <w:rPr>
          <w:rFonts w:ascii="Arial" w:eastAsia="Times New Roman" w:hAnsi="Arial" w:cs="Arial"/>
          <w:color w:val="202020"/>
          <w:sz w:val="24"/>
          <w:szCs w:val="24"/>
        </w:rPr>
        <w:t xml:space="preserve">. Following this </w:t>
      </w:r>
      <w:r w:rsidR="00167A91">
        <w:rPr>
          <w:rFonts w:ascii="Arial" w:eastAsia="Times New Roman" w:hAnsi="Arial" w:cs="Arial"/>
          <w:color w:val="202020"/>
          <w:sz w:val="24"/>
          <w:szCs w:val="24"/>
        </w:rPr>
        <w:t xml:space="preserve">latest </w:t>
      </w:r>
      <w:r w:rsidRPr="00174034">
        <w:rPr>
          <w:rFonts w:ascii="Arial" w:eastAsia="Times New Roman" w:hAnsi="Arial" w:cs="Arial"/>
          <w:color w:val="202020"/>
          <w:sz w:val="24"/>
          <w:szCs w:val="24"/>
        </w:rPr>
        <w:t xml:space="preserve">review, the Lord Chancellor stuck to one rate for all claimants for simplicity of use and certainty. </w:t>
      </w:r>
      <w:r w:rsidR="00167A91">
        <w:rPr>
          <w:rFonts w:ascii="Arial" w:eastAsia="Times New Roman" w:hAnsi="Arial" w:cs="Arial"/>
          <w:color w:val="202020"/>
          <w:sz w:val="24"/>
          <w:szCs w:val="24"/>
        </w:rPr>
        <w:t>However,</w:t>
      </w:r>
      <w:r w:rsidRPr="00174034">
        <w:rPr>
          <w:rFonts w:ascii="Arial" w:eastAsia="Times New Roman" w:hAnsi="Arial" w:cs="Arial"/>
          <w:color w:val="202020"/>
          <w:sz w:val="24"/>
          <w:szCs w:val="24"/>
        </w:rPr>
        <w:t xml:space="preserve"> he did not completely ignore the twin-rate approach</w:t>
      </w:r>
      <w:r w:rsidR="00822DDA">
        <w:rPr>
          <w:rFonts w:ascii="Arial" w:eastAsia="Times New Roman" w:hAnsi="Arial" w:cs="Arial"/>
          <w:color w:val="202020"/>
          <w:sz w:val="24"/>
          <w:szCs w:val="24"/>
        </w:rPr>
        <w:t xml:space="preserve"> (that Jersey have </w:t>
      </w:r>
      <w:r w:rsidR="00822DDA" w:rsidRPr="00086BCB">
        <w:rPr>
          <w:rFonts w:ascii="Arial" w:eastAsia="Times New Roman" w:hAnsi="Arial" w:cs="Arial"/>
          <w:color w:val="202020"/>
          <w:sz w:val="24"/>
          <w:szCs w:val="24"/>
        </w:rPr>
        <w:t>adopted)</w:t>
      </w:r>
      <w:r w:rsidRPr="00086BCB">
        <w:rPr>
          <w:rFonts w:ascii="Arial" w:eastAsia="Times New Roman" w:hAnsi="Arial" w:cs="Arial"/>
          <w:color w:val="202020"/>
          <w:sz w:val="24"/>
          <w:szCs w:val="24"/>
        </w:rPr>
        <w:t>, which could</w:t>
      </w:r>
      <w:r w:rsidR="00223A35" w:rsidRPr="00086BCB">
        <w:rPr>
          <w:rFonts w:ascii="Arial" w:eastAsia="Times New Roman" w:hAnsi="Arial" w:cs="Arial"/>
          <w:color w:val="202020"/>
          <w:sz w:val="24"/>
          <w:szCs w:val="24"/>
        </w:rPr>
        <w:t xml:space="preserve"> </w:t>
      </w:r>
      <w:r w:rsidR="00086BCB" w:rsidRPr="00086BCB">
        <w:rPr>
          <w:rFonts w:ascii="Arial" w:eastAsia="Times New Roman" w:hAnsi="Arial" w:cs="Arial"/>
          <w:color w:val="202020"/>
          <w:sz w:val="24"/>
          <w:szCs w:val="24"/>
        </w:rPr>
        <w:t xml:space="preserve">in future </w:t>
      </w:r>
      <w:r w:rsidR="00223A35" w:rsidRPr="00086BCB">
        <w:rPr>
          <w:rFonts w:ascii="Arial" w:eastAsia="Times New Roman" w:hAnsi="Arial" w:cs="Arial"/>
          <w:color w:val="202020"/>
          <w:sz w:val="24"/>
          <w:szCs w:val="24"/>
        </w:rPr>
        <w:t xml:space="preserve">potentially </w:t>
      </w:r>
      <w:r w:rsidR="00167A91">
        <w:rPr>
          <w:rFonts w:ascii="Arial" w:eastAsia="Times New Roman" w:hAnsi="Arial" w:cs="Arial"/>
          <w:color w:val="202020"/>
          <w:sz w:val="24"/>
          <w:szCs w:val="24"/>
        </w:rPr>
        <w:t>replace the single rate method.</w:t>
      </w:r>
    </w:p>
    <w:p w14:paraId="0ED559C9" w14:textId="77777777" w:rsidR="0017335C" w:rsidRPr="00174034" w:rsidRDefault="0017335C" w:rsidP="00337A46">
      <w:pPr>
        <w:jc w:val="both"/>
        <w:rPr>
          <w:rFonts w:ascii="Arial" w:eastAsia="Times New Roman" w:hAnsi="Arial" w:cs="Arial"/>
          <w:color w:val="202020"/>
          <w:sz w:val="24"/>
          <w:szCs w:val="24"/>
        </w:rPr>
      </w:pPr>
    </w:p>
    <w:p w14:paraId="29E23AC1" w14:textId="77777777" w:rsidR="0017335C" w:rsidRPr="00174034" w:rsidRDefault="0017335C" w:rsidP="00337A46">
      <w:pPr>
        <w:jc w:val="both"/>
        <w:rPr>
          <w:rFonts w:ascii="Helvetica Neue" w:eastAsia="Times New Roman" w:hAnsi="Helvetica Neue" w:cs="Helvetica"/>
          <w:color w:val="202020"/>
          <w:sz w:val="21"/>
          <w:szCs w:val="21"/>
        </w:rPr>
      </w:pPr>
    </w:p>
    <w:p w14:paraId="66F4C392" w14:textId="77777777" w:rsidR="0017335C" w:rsidRPr="00174034" w:rsidRDefault="0017335C" w:rsidP="00337A46">
      <w:pPr>
        <w:jc w:val="both"/>
        <w:rPr>
          <w:rFonts w:ascii="Helvetica Neue" w:eastAsia="Times New Roman" w:hAnsi="Helvetica Neue" w:cs="Helvetica"/>
          <w:color w:val="202020"/>
          <w:sz w:val="21"/>
          <w:szCs w:val="21"/>
        </w:rPr>
      </w:pPr>
    </w:p>
    <w:p w14:paraId="56FFA07D" w14:textId="77777777" w:rsidR="00B26768" w:rsidRPr="00174034" w:rsidRDefault="00B26768" w:rsidP="00174034">
      <w:pPr>
        <w:jc w:val="both"/>
        <w:rPr>
          <w:rFonts w:ascii="Helvetica Neue" w:eastAsia="Times New Roman" w:hAnsi="Helvetica Neue" w:cs="Helvetica"/>
          <w:color w:val="202020"/>
          <w:sz w:val="21"/>
          <w:szCs w:val="21"/>
        </w:rPr>
      </w:pPr>
    </w:p>
    <w:p w14:paraId="27BCBD32" w14:textId="77777777" w:rsidR="00B26768" w:rsidRPr="00174034" w:rsidRDefault="00B26768" w:rsidP="00174034">
      <w:pPr>
        <w:jc w:val="both"/>
        <w:rPr>
          <w:rFonts w:ascii="Helvetica Neue" w:eastAsia="Times New Roman" w:hAnsi="Helvetica Neue" w:cs="Helvetica"/>
          <w:color w:val="202020"/>
          <w:sz w:val="21"/>
          <w:szCs w:val="21"/>
        </w:rPr>
      </w:pPr>
    </w:p>
    <w:sectPr w:rsidR="00B26768" w:rsidRPr="00174034">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68EDCB" w14:textId="77777777" w:rsidR="003D4439" w:rsidRDefault="003D4439" w:rsidP="000F45D4">
      <w:r>
        <w:separator/>
      </w:r>
    </w:p>
  </w:endnote>
  <w:endnote w:type="continuationSeparator" w:id="0">
    <w:p w14:paraId="21410B84" w14:textId="77777777" w:rsidR="003D4439" w:rsidRDefault="003D4439" w:rsidP="000F4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Helvetica Neue">
    <w:altName w:val="Times New Roman"/>
    <w:charset w:val="00"/>
    <w:family w:val="auto"/>
    <w:pitch w:val="variable"/>
    <w:sig w:usb0="E50002FF" w:usb1="500079DB" w:usb2="0000001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38552828"/>
      <w:docPartObj>
        <w:docPartGallery w:val="Page Numbers (Bottom of Page)"/>
        <w:docPartUnique/>
      </w:docPartObj>
    </w:sdtPr>
    <w:sdtEndPr>
      <w:rPr>
        <w:noProof/>
      </w:rPr>
    </w:sdtEndPr>
    <w:sdtContent>
      <w:p w14:paraId="64D3104F" w14:textId="77777777" w:rsidR="00A11A5B" w:rsidRDefault="00A11A5B">
        <w:pPr>
          <w:pStyle w:val="Footer"/>
          <w:jc w:val="center"/>
        </w:pPr>
        <w:r>
          <w:fldChar w:fldCharType="begin"/>
        </w:r>
        <w:r>
          <w:instrText xml:space="preserve"> PAGE   \* MERGEFORMAT </w:instrText>
        </w:r>
        <w:r>
          <w:fldChar w:fldCharType="separate"/>
        </w:r>
        <w:r w:rsidR="00C40A8B">
          <w:rPr>
            <w:noProof/>
          </w:rPr>
          <w:t>1</w:t>
        </w:r>
        <w:r>
          <w:rPr>
            <w:noProof/>
          </w:rPr>
          <w:fldChar w:fldCharType="end"/>
        </w:r>
      </w:p>
    </w:sdtContent>
  </w:sdt>
  <w:p w14:paraId="1025A2EF" w14:textId="77777777" w:rsidR="00A11A5B" w:rsidRDefault="00A11A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84C4FC" w14:textId="77777777" w:rsidR="003D4439" w:rsidRDefault="003D4439" w:rsidP="000F45D4">
      <w:r>
        <w:separator/>
      </w:r>
    </w:p>
  </w:footnote>
  <w:footnote w:type="continuationSeparator" w:id="0">
    <w:p w14:paraId="78AF5BCE" w14:textId="77777777" w:rsidR="003D4439" w:rsidRDefault="003D4439" w:rsidP="000F45D4">
      <w:r>
        <w:continuationSeparator/>
      </w:r>
    </w:p>
  </w:footnote>
  <w:footnote w:id="1">
    <w:p w14:paraId="46E65B5D" w14:textId="77777777" w:rsidR="00223A35" w:rsidRPr="00686A8A" w:rsidRDefault="00223A35">
      <w:pPr>
        <w:pStyle w:val="FootnoteText"/>
        <w:rPr>
          <w:rFonts w:ascii="Arial" w:hAnsi="Arial" w:cs="Arial"/>
          <w:sz w:val="18"/>
          <w:szCs w:val="18"/>
        </w:rPr>
      </w:pPr>
      <w:r w:rsidRPr="00686A8A">
        <w:rPr>
          <w:rStyle w:val="FootnoteReference"/>
          <w:rFonts w:ascii="Arial" w:hAnsi="Arial" w:cs="Arial"/>
          <w:sz w:val="18"/>
          <w:szCs w:val="18"/>
        </w:rPr>
        <w:footnoteRef/>
      </w:r>
      <w:r w:rsidRPr="00686A8A">
        <w:rPr>
          <w:rFonts w:ascii="Arial" w:hAnsi="Arial" w:cs="Arial"/>
          <w:sz w:val="18"/>
          <w:szCs w:val="18"/>
        </w:rPr>
        <w:t xml:space="preserve"> The principle of restitutio in integrum – to put an injured party back into the position that they would have been absent the injury</w:t>
      </w:r>
    </w:p>
  </w:footnote>
  <w:footnote w:id="2">
    <w:p w14:paraId="0E4BEBBC" w14:textId="77777777" w:rsidR="001F6F4D" w:rsidRPr="00686A8A" w:rsidRDefault="001F6F4D">
      <w:pPr>
        <w:pStyle w:val="FootnoteText"/>
        <w:rPr>
          <w:rFonts w:ascii="Arial" w:hAnsi="Arial" w:cs="Arial"/>
          <w:sz w:val="18"/>
          <w:szCs w:val="18"/>
        </w:rPr>
      </w:pPr>
      <w:r w:rsidRPr="00686A8A">
        <w:rPr>
          <w:rStyle w:val="FootnoteReference"/>
          <w:rFonts w:ascii="Arial" w:hAnsi="Arial" w:cs="Arial"/>
          <w:sz w:val="18"/>
          <w:szCs w:val="18"/>
        </w:rPr>
        <w:footnoteRef/>
      </w:r>
      <w:r w:rsidRPr="00686A8A">
        <w:rPr>
          <w:rFonts w:ascii="Arial" w:hAnsi="Arial" w:cs="Arial"/>
          <w:sz w:val="18"/>
          <w:szCs w:val="18"/>
        </w:rPr>
        <w:t xml:space="preserve"> </w:t>
      </w:r>
      <w:r w:rsidRPr="00686A8A">
        <w:rPr>
          <w:rFonts w:ascii="Arial" w:eastAsia="Times New Roman" w:hAnsi="Arial" w:cs="Arial"/>
          <w:sz w:val="18"/>
          <w:szCs w:val="18"/>
        </w:rPr>
        <w:t>[1999] 1 AC 345</w:t>
      </w:r>
    </w:p>
  </w:footnote>
  <w:footnote w:id="3">
    <w:p w14:paraId="119F42D2" w14:textId="77777777" w:rsidR="00337A46" w:rsidRPr="00686A8A" w:rsidRDefault="00337A46">
      <w:pPr>
        <w:pStyle w:val="FootnoteText"/>
        <w:rPr>
          <w:sz w:val="18"/>
          <w:szCs w:val="18"/>
        </w:rPr>
      </w:pPr>
      <w:r w:rsidRPr="00686A8A">
        <w:rPr>
          <w:rStyle w:val="FootnoteReference"/>
          <w:sz w:val="18"/>
          <w:szCs w:val="18"/>
        </w:rPr>
        <w:footnoteRef/>
      </w:r>
      <w:r w:rsidRPr="00686A8A">
        <w:rPr>
          <w:sz w:val="18"/>
          <w:szCs w:val="18"/>
        </w:rPr>
        <w:t xml:space="preserve"> </w:t>
      </w:r>
      <w:r w:rsidRPr="00686A8A">
        <w:rPr>
          <w:rFonts w:ascii="Arial" w:hAnsi="Arial" w:cs="Arial"/>
          <w:color w:val="000000"/>
          <w:sz w:val="18"/>
          <w:szCs w:val="18"/>
          <w:lang w:val="en"/>
        </w:rPr>
        <w:t>[1989] QB 878</w:t>
      </w:r>
    </w:p>
  </w:footnote>
  <w:footnote w:id="4">
    <w:p w14:paraId="25D33C9F" w14:textId="77777777" w:rsidR="00EE2604" w:rsidRPr="00686A8A" w:rsidRDefault="00EE2604" w:rsidP="00EE2604">
      <w:pPr>
        <w:pStyle w:val="FootnoteText"/>
        <w:rPr>
          <w:rFonts w:ascii="Arial" w:hAnsi="Arial" w:cs="Arial"/>
          <w:sz w:val="18"/>
          <w:szCs w:val="18"/>
        </w:rPr>
      </w:pPr>
      <w:r w:rsidRPr="00686A8A">
        <w:rPr>
          <w:rStyle w:val="FootnoteReference"/>
          <w:sz w:val="18"/>
          <w:szCs w:val="18"/>
        </w:rPr>
        <w:footnoteRef/>
      </w:r>
      <w:r w:rsidRPr="00686A8A">
        <w:rPr>
          <w:sz w:val="18"/>
          <w:szCs w:val="18"/>
        </w:rPr>
        <w:t xml:space="preserve"> </w:t>
      </w:r>
      <w:r w:rsidRPr="00686A8A">
        <w:rPr>
          <w:rFonts w:ascii="Arial" w:hAnsi="Arial" w:cs="Arial"/>
          <w:i/>
          <w:color w:val="000000"/>
          <w:sz w:val="18"/>
          <w:szCs w:val="18"/>
          <w:lang w:val="en"/>
        </w:rPr>
        <w:t>Cobham v Eeles</w:t>
      </w:r>
      <w:r w:rsidRPr="00686A8A">
        <w:rPr>
          <w:rFonts w:ascii="Arial" w:hAnsi="Arial" w:cs="Arial"/>
          <w:color w:val="000000"/>
          <w:sz w:val="18"/>
          <w:szCs w:val="18"/>
          <w:lang w:val="en"/>
        </w:rPr>
        <w:t xml:space="preserve">  </w:t>
      </w:r>
      <w:r w:rsidRPr="00686A8A">
        <w:rPr>
          <w:rFonts w:ascii="Arial" w:hAnsi="Arial" w:cs="Arial"/>
          <w:sz w:val="18"/>
          <w:szCs w:val="18"/>
          <w:lang w:val="en-US"/>
        </w:rPr>
        <w:t>[2009] EWCA 204</w:t>
      </w:r>
    </w:p>
  </w:footnote>
  <w:footnote w:id="5">
    <w:p w14:paraId="33C95A6F" w14:textId="77777777" w:rsidR="00337A46" w:rsidRDefault="00337A46">
      <w:pPr>
        <w:pStyle w:val="FootnoteText"/>
      </w:pPr>
      <w:r w:rsidRPr="00686A8A">
        <w:rPr>
          <w:rStyle w:val="FootnoteReference"/>
          <w:rFonts w:ascii="Arial" w:hAnsi="Arial" w:cs="Arial"/>
          <w:sz w:val="18"/>
          <w:szCs w:val="18"/>
        </w:rPr>
        <w:footnoteRef/>
      </w:r>
      <w:r w:rsidRPr="00686A8A">
        <w:rPr>
          <w:rFonts w:ascii="Arial" w:hAnsi="Arial" w:cs="Arial"/>
          <w:sz w:val="18"/>
          <w:szCs w:val="18"/>
        </w:rPr>
        <w:t xml:space="preserve"> [</w:t>
      </w:r>
      <w:r w:rsidRPr="00686A8A">
        <w:rPr>
          <w:rFonts w:ascii="Arial" w:hAnsi="Arial" w:cs="Arial"/>
          <w:sz w:val="18"/>
          <w:szCs w:val="18"/>
          <w:lang w:val="en"/>
        </w:rPr>
        <w:t>2018] EWHC 2060 (QB)</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700523" w14:textId="77777777" w:rsidR="00477517" w:rsidRDefault="00477517">
    <w:pPr>
      <w:pStyle w:val="Header"/>
    </w:pPr>
    <w:r>
      <w:t>Bethany Sanders, Leigh Day</w:t>
    </w:r>
  </w:p>
  <w:p w14:paraId="5881BD0C" w14:textId="77777777" w:rsidR="000F45D4" w:rsidRDefault="000F45D4">
    <w:pPr>
      <w:pStyle w:val="Header"/>
    </w:pPr>
    <w:r>
      <w:t>Article for Le</w:t>
    </w:r>
    <w:r w:rsidR="004D5849">
      <w:t>xis Nexis on Discount Rate</w:t>
    </w:r>
    <w:r w:rsidR="004D5849">
      <w:tab/>
    </w:r>
    <w:r w:rsidR="004D5849">
      <w:tab/>
      <w:t>October</w:t>
    </w:r>
    <w:r>
      <w:t xml:space="preserve"> 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3A56B8"/>
    <w:multiLevelType w:val="hybridMultilevel"/>
    <w:tmpl w:val="4788B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56F"/>
    <w:rsid w:val="000300BB"/>
    <w:rsid w:val="0007070C"/>
    <w:rsid w:val="00086BCB"/>
    <w:rsid w:val="000A1499"/>
    <w:rsid w:val="000D6F21"/>
    <w:rsid w:val="000D7503"/>
    <w:rsid w:val="000F45D4"/>
    <w:rsid w:val="0015297E"/>
    <w:rsid w:val="00167A91"/>
    <w:rsid w:val="00167B0D"/>
    <w:rsid w:val="0017335C"/>
    <w:rsid w:val="00174034"/>
    <w:rsid w:val="001C2E5A"/>
    <w:rsid w:val="001F6F4D"/>
    <w:rsid w:val="00204390"/>
    <w:rsid w:val="00223A35"/>
    <w:rsid w:val="00254A4C"/>
    <w:rsid w:val="00257B2C"/>
    <w:rsid w:val="00267A05"/>
    <w:rsid w:val="00267A54"/>
    <w:rsid w:val="00270C5D"/>
    <w:rsid w:val="00276A37"/>
    <w:rsid w:val="002B67E5"/>
    <w:rsid w:val="00321B9F"/>
    <w:rsid w:val="003330BB"/>
    <w:rsid w:val="00334F83"/>
    <w:rsid w:val="00337A46"/>
    <w:rsid w:val="00347EA5"/>
    <w:rsid w:val="00356243"/>
    <w:rsid w:val="00367857"/>
    <w:rsid w:val="00386232"/>
    <w:rsid w:val="00387E65"/>
    <w:rsid w:val="00397CE2"/>
    <w:rsid w:val="003C3F08"/>
    <w:rsid w:val="003D4439"/>
    <w:rsid w:val="00402EB3"/>
    <w:rsid w:val="00442E81"/>
    <w:rsid w:val="00460F2E"/>
    <w:rsid w:val="00477517"/>
    <w:rsid w:val="004A032D"/>
    <w:rsid w:val="004A382E"/>
    <w:rsid w:val="004D5849"/>
    <w:rsid w:val="005076D2"/>
    <w:rsid w:val="00517C36"/>
    <w:rsid w:val="005252AD"/>
    <w:rsid w:val="0052595E"/>
    <w:rsid w:val="0058152B"/>
    <w:rsid w:val="00582A06"/>
    <w:rsid w:val="005A50B1"/>
    <w:rsid w:val="005B3E5F"/>
    <w:rsid w:val="005C3EEA"/>
    <w:rsid w:val="005D2EB7"/>
    <w:rsid w:val="0063600E"/>
    <w:rsid w:val="006460BC"/>
    <w:rsid w:val="00663FF4"/>
    <w:rsid w:val="00666687"/>
    <w:rsid w:val="00670533"/>
    <w:rsid w:val="00686A8A"/>
    <w:rsid w:val="00686F25"/>
    <w:rsid w:val="006A3E91"/>
    <w:rsid w:val="006B4F60"/>
    <w:rsid w:val="006D725F"/>
    <w:rsid w:val="006F09BF"/>
    <w:rsid w:val="00704F88"/>
    <w:rsid w:val="00735916"/>
    <w:rsid w:val="0074411C"/>
    <w:rsid w:val="007B40DA"/>
    <w:rsid w:val="007F7A89"/>
    <w:rsid w:val="008215B2"/>
    <w:rsid w:val="00822DDA"/>
    <w:rsid w:val="00825276"/>
    <w:rsid w:val="00827236"/>
    <w:rsid w:val="00835767"/>
    <w:rsid w:val="008709D6"/>
    <w:rsid w:val="0088000B"/>
    <w:rsid w:val="00881058"/>
    <w:rsid w:val="008B6057"/>
    <w:rsid w:val="009062A1"/>
    <w:rsid w:val="00932F3F"/>
    <w:rsid w:val="00986DE4"/>
    <w:rsid w:val="009B12FA"/>
    <w:rsid w:val="009B7C7E"/>
    <w:rsid w:val="009C1770"/>
    <w:rsid w:val="009D2515"/>
    <w:rsid w:val="009F10E9"/>
    <w:rsid w:val="009F5432"/>
    <w:rsid w:val="009F5E0F"/>
    <w:rsid w:val="00A11A5B"/>
    <w:rsid w:val="00A26385"/>
    <w:rsid w:val="00A400F0"/>
    <w:rsid w:val="00A464D7"/>
    <w:rsid w:val="00A549BE"/>
    <w:rsid w:val="00A6206A"/>
    <w:rsid w:val="00A64429"/>
    <w:rsid w:val="00A748B0"/>
    <w:rsid w:val="00A75D69"/>
    <w:rsid w:val="00A84B3C"/>
    <w:rsid w:val="00AF1BE2"/>
    <w:rsid w:val="00B028E0"/>
    <w:rsid w:val="00B1355A"/>
    <w:rsid w:val="00B236A7"/>
    <w:rsid w:val="00B26768"/>
    <w:rsid w:val="00B63D4E"/>
    <w:rsid w:val="00C065ED"/>
    <w:rsid w:val="00C179E0"/>
    <w:rsid w:val="00C17ECE"/>
    <w:rsid w:val="00C21FAA"/>
    <w:rsid w:val="00C40A8B"/>
    <w:rsid w:val="00C76E61"/>
    <w:rsid w:val="00CC723A"/>
    <w:rsid w:val="00CC72F2"/>
    <w:rsid w:val="00CE50EB"/>
    <w:rsid w:val="00D02332"/>
    <w:rsid w:val="00D07178"/>
    <w:rsid w:val="00D54B5F"/>
    <w:rsid w:val="00D82D6B"/>
    <w:rsid w:val="00D8640A"/>
    <w:rsid w:val="00DE5E2B"/>
    <w:rsid w:val="00E1256F"/>
    <w:rsid w:val="00E44260"/>
    <w:rsid w:val="00E44B45"/>
    <w:rsid w:val="00E739CC"/>
    <w:rsid w:val="00E975F6"/>
    <w:rsid w:val="00EA7E48"/>
    <w:rsid w:val="00EB4F8E"/>
    <w:rsid w:val="00EC4692"/>
    <w:rsid w:val="00ED0A7F"/>
    <w:rsid w:val="00EE09A3"/>
    <w:rsid w:val="00EE2604"/>
    <w:rsid w:val="00F34CE1"/>
    <w:rsid w:val="00F6362F"/>
    <w:rsid w:val="00FB7EC1"/>
    <w:rsid w:val="00FC016D"/>
    <w:rsid w:val="00FC1A12"/>
    <w:rsid w:val="00FD490C"/>
    <w:rsid w:val="00FD5475"/>
    <w:rsid w:val="00FD7E6D"/>
    <w:rsid w:val="00FF5B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89742"/>
  <w15:docId w15:val="{000844AD-9B52-4336-A2CF-533A0C0F7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256F"/>
    <w:pPr>
      <w:spacing w:after="0" w:line="240" w:lineRule="auto"/>
    </w:pPr>
    <w:rPr>
      <w:rFonts w:ascii="Calibri" w:hAnsi="Calibri"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256F"/>
    <w:pPr>
      <w:ind w:left="720"/>
      <w:contextualSpacing/>
    </w:pPr>
  </w:style>
  <w:style w:type="character" w:styleId="Emphasis">
    <w:name w:val="Emphasis"/>
    <w:basedOn w:val="DefaultParagraphFont"/>
    <w:uiPriority w:val="20"/>
    <w:qFormat/>
    <w:rsid w:val="00E1256F"/>
    <w:rPr>
      <w:b/>
      <w:bCs/>
      <w:i w:val="0"/>
      <w:iCs w:val="0"/>
    </w:rPr>
  </w:style>
  <w:style w:type="character" w:customStyle="1" w:styleId="st1">
    <w:name w:val="st1"/>
    <w:basedOn w:val="DefaultParagraphFont"/>
    <w:rsid w:val="00E1256F"/>
  </w:style>
  <w:style w:type="paragraph" w:styleId="NormalWeb">
    <w:name w:val="Normal (Web)"/>
    <w:basedOn w:val="Normal"/>
    <w:uiPriority w:val="99"/>
    <w:semiHidden/>
    <w:unhideWhenUsed/>
    <w:rsid w:val="000F45D4"/>
    <w:rPr>
      <w:rFonts w:ascii="Times New Roman" w:eastAsia="Times New Roman" w:hAnsi="Times New Roman"/>
      <w:sz w:val="24"/>
      <w:szCs w:val="24"/>
    </w:rPr>
  </w:style>
  <w:style w:type="paragraph" w:styleId="Header">
    <w:name w:val="header"/>
    <w:basedOn w:val="Normal"/>
    <w:link w:val="HeaderChar"/>
    <w:uiPriority w:val="99"/>
    <w:unhideWhenUsed/>
    <w:rsid w:val="000F45D4"/>
    <w:pPr>
      <w:tabs>
        <w:tab w:val="center" w:pos="4513"/>
        <w:tab w:val="right" w:pos="9026"/>
      </w:tabs>
    </w:pPr>
  </w:style>
  <w:style w:type="character" w:customStyle="1" w:styleId="HeaderChar">
    <w:name w:val="Header Char"/>
    <w:basedOn w:val="DefaultParagraphFont"/>
    <w:link w:val="Header"/>
    <w:uiPriority w:val="99"/>
    <w:rsid w:val="000F45D4"/>
    <w:rPr>
      <w:rFonts w:ascii="Calibri" w:hAnsi="Calibri" w:cs="Times New Roman"/>
      <w:lang w:eastAsia="en-GB"/>
    </w:rPr>
  </w:style>
  <w:style w:type="paragraph" w:styleId="Footer">
    <w:name w:val="footer"/>
    <w:basedOn w:val="Normal"/>
    <w:link w:val="FooterChar"/>
    <w:uiPriority w:val="99"/>
    <w:unhideWhenUsed/>
    <w:rsid w:val="000F45D4"/>
    <w:pPr>
      <w:tabs>
        <w:tab w:val="center" w:pos="4513"/>
        <w:tab w:val="right" w:pos="9026"/>
      </w:tabs>
    </w:pPr>
  </w:style>
  <w:style w:type="character" w:customStyle="1" w:styleId="FooterChar">
    <w:name w:val="Footer Char"/>
    <w:basedOn w:val="DefaultParagraphFont"/>
    <w:link w:val="Footer"/>
    <w:uiPriority w:val="99"/>
    <w:rsid w:val="000F45D4"/>
    <w:rPr>
      <w:rFonts w:ascii="Calibri" w:hAnsi="Calibri" w:cs="Times New Roman"/>
      <w:lang w:eastAsia="en-GB"/>
    </w:rPr>
  </w:style>
  <w:style w:type="table" w:styleId="TableGrid">
    <w:name w:val="Table Grid"/>
    <w:basedOn w:val="TableNormal"/>
    <w:uiPriority w:val="59"/>
    <w:rsid w:val="008800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337A46"/>
    <w:rPr>
      <w:sz w:val="20"/>
      <w:szCs w:val="20"/>
    </w:rPr>
  </w:style>
  <w:style w:type="character" w:customStyle="1" w:styleId="FootnoteTextChar">
    <w:name w:val="Footnote Text Char"/>
    <w:basedOn w:val="DefaultParagraphFont"/>
    <w:link w:val="FootnoteText"/>
    <w:uiPriority w:val="99"/>
    <w:semiHidden/>
    <w:rsid w:val="00337A46"/>
    <w:rPr>
      <w:rFonts w:ascii="Calibri" w:hAnsi="Calibri" w:cs="Times New Roman"/>
      <w:sz w:val="20"/>
      <w:szCs w:val="20"/>
      <w:lang w:eastAsia="en-GB"/>
    </w:rPr>
  </w:style>
  <w:style w:type="character" w:styleId="FootnoteReference">
    <w:name w:val="footnote reference"/>
    <w:basedOn w:val="DefaultParagraphFont"/>
    <w:uiPriority w:val="99"/>
    <w:semiHidden/>
    <w:unhideWhenUsed/>
    <w:rsid w:val="00337A46"/>
    <w:rPr>
      <w:vertAlign w:val="superscript"/>
    </w:rPr>
  </w:style>
  <w:style w:type="paragraph" w:styleId="BalloonText">
    <w:name w:val="Balloon Text"/>
    <w:basedOn w:val="Normal"/>
    <w:link w:val="BalloonTextChar"/>
    <w:uiPriority w:val="99"/>
    <w:semiHidden/>
    <w:unhideWhenUsed/>
    <w:rsid w:val="005076D2"/>
    <w:rPr>
      <w:rFonts w:ascii="Tahoma" w:hAnsi="Tahoma" w:cs="Tahoma"/>
      <w:sz w:val="16"/>
      <w:szCs w:val="16"/>
    </w:rPr>
  </w:style>
  <w:style w:type="character" w:customStyle="1" w:styleId="BalloonTextChar">
    <w:name w:val="Balloon Text Char"/>
    <w:basedOn w:val="DefaultParagraphFont"/>
    <w:link w:val="BalloonText"/>
    <w:uiPriority w:val="99"/>
    <w:semiHidden/>
    <w:rsid w:val="005076D2"/>
    <w:rPr>
      <w:rFonts w:ascii="Tahoma"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0507998">
      <w:bodyDiv w:val="1"/>
      <w:marLeft w:val="0"/>
      <w:marRight w:val="0"/>
      <w:marTop w:val="0"/>
      <w:marBottom w:val="0"/>
      <w:divBdr>
        <w:top w:val="none" w:sz="0" w:space="0" w:color="auto"/>
        <w:left w:val="none" w:sz="0" w:space="0" w:color="auto"/>
        <w:bottom w:val="none" w:sz="0" w:space="0" w:color="auto"/>
        <w:right w:val="none" w:sz="0" w:space="0" w:color="auto"/>
      </w:divBdr>
      <w:divsChild>
        <w:div w:id="2087651569">
          <w:marLeft w:val="0"/>
          <w:marRight w:val="0"/>
          <w:marTop w:val="0"/>
          <w:marBottom w:val="0"/>
          <w:divBdr>
            <w:top w:val="none" w:sz="0" w:space="0" w:color="auto"/>
            <w:left w:val="none" w:sz="0" w:space="0" w:color="auto"/>
            <w:bottom w:val="none" w:sz="0" w:space="0" w:color="auto"/>
            <w:right w:val="none" w:sz="0" w:space="0" w:color="auto"/>
          </w:divBdr>
          <w:divsChild>
            <w:div w:id="919559358">
              <w:marLeft w:val="0"/>
              <w:marRight w:val="0"/>
              <w:marTop w:val="0"/>
              <w:marBottom w:val="0"/>
              <w:divBdr>
                <w:top w:val="none" w:sz="0" w:space="0" w:color="auto"/>
                <w:left w:val="none" w:sz="0" w:space="0" w:color="auto"/>
                <w:bottom w:val="none" w:sz="0" w:space="0" w:color="auto"/>
                <w:right w:val="none" w:sz="0" w:space="0" w:color="auto"/>
              </w:divBdr>
              <w:divsChild>
                <w:div w:id="748233909">
                  <w:marLeft w:val="0"/>
                  <w:marRight w:val="0"/>
                  <w:marTop w:val="0"/>
                  <w:marBottom w:val="0"/>
                  <w:divBdr>
                    <w:top w:val="none" w:sz="0" w:space="0" w:color="auto"/>
                    <w:left w:val="none" w:sz="0" w:space="0" w:color="auto"/>
                    <w:bottom w:val="none" w:sz="0" w:space="0" w:color="auto"/>
                    <w:right w:val="none" w:sz="0" w:space="0" w:color="auto"/>
                  </w:divBdr>
                  <w:divsChild>
                    <w:div w:id="1383867632">
                      <w:marLeft w:val="0"/>
                      <w:marRight w:val="0"/>
                      <w:marTop w:val="0"/>
                      <w:marBottom w:val="0"/>
                      <w:divBdr>
                        <w:top w:val="none" w:sz="0" w:space="0" w:color="auto"/>
                        <w:left w:val="none" w:sz="0" w:space="0" w:color="auto"/>
                        <w:bottom w:val="none" w:sz="0" w:space="0" w:color="auto"/>
                        <w:right w:val="none" w:sz="0" w:space="0" w:color="auto"/>
                      </w:divBdr>
                      <w:divsChild>
                        <w:div w:id="122749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896174">
      <w:bodyDiv w:val="1"/>
      <w:marLeft w:val="0"/>
      <w:marRight w:val="0"/>
      <w:marTop w:val="0"/>
      <w:marBottom w:val="0"/>
      <w:divBdr>
        <w:top w:val="none" w:sz="0" w:space="0" w:color="auto"/>
        <w:left w:val="none" w:sz="0" w:space="0" w:color="auto"/>
        <w:bottom w:val="none" w:sz="0" w:space="0" w:color="auto"/>
        <w:right w:val="none" w:sz="0" w:space="0" w:color="auto"/>
      </w:divBdr>
    </w:div>
    <w:div w:id="1934778850">
      <w:bodyDiv w:val="1"/>
      <w:marLeft w:val="0"/>
      <w:marRight w:val="0"/>
      <w:marTop w:val="0"/>
      <w:marBottom w:val="0"/>
      <w:divBdr>
        <w:top w:val="none" w:sz="0" w:space="0" w:color="auto"/>
        <w:left w:val="none" w:sz="0" w:space="0" w:color="auto"/>
        <w:bottom w:val="none" w:sz="0" w:space="0" w:color="auto"/>
        <w:right w:val="none" w:sz="0" w:space="0" w:color="auto"/>
      </w:divBdr>
      <w:divsChild>
        <w:div w:id="1021541925">
          <w:marLeft w:val="0"/>
          <w:marRight w:val="0"/>
          <w:marTop w:val="0"/>
          <w:marBottom w:val="0"/>
          <w:divBdr>
            <w:top w:val="none" w:sz="0" w:space="0" w:color="auto"/>
            <w:left w:val="none" w:sz="0" w:space="0" w:color="auto"/>
            <w:bottom w:val="none" w:sz="0" w:space="0" w:color="auto"/>
            <w:right w:val="none" w:sz="0" w:space="0" w:color="auto"/>
          </w:divBdr>
          <w:divsChild>
            <w:div w:id="472260408">
              <w:marLeft w:val="-225"/>
              <w:marRight w:val="-225"/>
              <w:marTop w:val="300"/>
              <w:marBottom w:val="300"/>
              <w:divBdr>
                <w:top w:val="none" w:sz="0" w:space="0" w:color="auto"/>
                <w:left w:val="none" w:sz="0" w:space="0" w:color="auto"/>
                <w:bottom w:val="none" w:sz="0" w:space="0" w:color="auto"/>
                <w:right w:val="none" w:sz="0" w:space="0" w:color="auto"/>
              </w:divBdr>
              <w:divsChild>
                <w:div w:id="1677921018">
                  <w:marLeft w:val="0"/>
                  <w:marRight w:val="0"/>
                  <w:marTop w:val="0"/>
                  <w:marBottom w:val="0"/>
                  <w:divBdr>
                    <w:top w:val="none" w:sz="0" w:space="0" w:color="auto"/>
                    <w:left w:val="none" w:sz="0" w:space="0" w:color="auto"/>
                    <w:bottom w:val="none" w:sz="0" w:space="0" w:color="auto"/>
                    <w:right w:val="none" w:sz="0" w:space="0" w:color="auto"/>
                  </w:divBdr>
                  <w:divsChild>
                    <w:div w:id="884677843">
                      <w:marLeft w:val="0"/>
                      <w:marRight w:val="0"/>
                      <w:marTop w:val="0"/>
                      <w:marBottom w:val="0"/>
                      <w:divBdr>
                        <w:top w:val="none" w:sz="0" w:space="0" w:color="auto"/>
                        <w:left w:val="none" w:sz="0" w:space="0" w:color="auto"/>
                        <w:bottom w:val="none" w:sz="0" w:space="0" w:color="auto"/>
                        <w:right w:val="none" w:sz="0" w:space="0" w:color="auto"/>
                      </w:divBdr>
                      <w:divsChild>
                        <w:div w:id="2054032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029AA1-8F49-4AD5-9C7E-E854F948B9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1594</Words>
  <Characters>9086</Characters>
  <Application>Microsoft Office Word</Application>
  <DocSecurity>4</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Leigh Day &amp; Co</Company>
  <LinksUpToDate>false</LinksUpToDate>
  <CharactersWithSpaces>10659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Bethany Sanders</dc:creator>
  <cp:lastModifiedBy>Helen Dewar</cp:lastModifiedBy>
  <cp:revision>2</cp:revision>
  <dcterms:created xsi:type="dcterms:W3CDTF">2021-01-21T15:51:00Z</dcterms:created>
  <dcterms:modified xsi:type="dcterms:W3CDTF">2021-01-21T15:51:00Z</dcterms:modified>
</cp:coreProperties>
</file>